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ED123B" w14:textId="709B5953" w:rsidR="000D0967" w:rsidRPr="00E61721" w:rsidRDefault="000D0967" w:rsidP="00637DF4">
      <w:pPr>
        <w:spacing w:line="276" w:lineRule="auto"/>
        <w:ind w:left="720"/>
        <w:rPr>
          <w:rFonts w:asciiTheme="majorBidi" w:hAnsiTheme="majorBidi" w:cstheme="majorBidi"/>
          <w:b/>
          <w:bCs/>
          <w:lang w:val="sq-AL"/>
        </w:rPr>
      </w:pPr>
      <w:bookmarkStart w:id="0" w:name="_Hlk227922032"/>
      <w:r w:rsidRPr="00AF62DD">
        <w:rPr>
          <w:rFonts w:asciiTheme="majorBidi" w:hAnsiTheme="majorBidi" w:cstheme="majorBidi"/>
          <w:b/>
          <w:bCs/>
          <w:lang w:val="sq-AL"/>
        </w:rPr>
        <w:t xml:space="preserve">ANEKSI </w:t>
      </w:r>
      <w:r w:rsidR="00637DF4" w:rsidRPr="00AF62DD">
        <w:rPr>
          <w:rFonts w:asciiTheme="majorBidi" w:hAnsiTheme="majorBidi" w:cstheme="majorBidi"/>
          <w:b/>
          <w:bCs/>
          <w:lang w:val="sq-AL"/>
        </w:rPr>
        <w:t>6.</w:t>
      </w:r>
      <w:r w:rsidR="00637DF4">
        <w:rPr>
          <w:rFonts w:asciiTheme="majorBidi" w:hAnsiTheme="majorBidi" w:cstheme="majorBidi"/>
          <w:b/>
          <w:bCs/>
          <w:lang w:val="sq-AL"/>
        </w:rPr>
        <w:t xml:space="preserve">   K</w:t>
      </w:r>
      <w:r w:rsidRPr="00E61721">
        <w:rPr>
          <w:rFonts w:asciiTheme="majorBidi" w:hAnsiTheme="majorBidi" w:cstheme="majorBidi"/>
          <w:b/>
          <w:bCs/>
          <w:lang w:val="sq-AL"/>
        </w:rPr>
        <w:t>USHT</w:t>
      </w:r>
      <w:r w:rsidR="0049661C" w:rsidRPr="00E61721">
        <w:rPr>
          <w:rFonts w:asciiTheme="majorBidi" w:hAnsiTheme="majorBidi" w:cstheme="majorBidi"/>
          <w:b/>
          <w:bCs/>
          <w:lang w:val="sq-AL"/>
        </w:rPr>
        <w:t>Ë</w:t>
      </w:r>
      <w:r w:rsidRPr="00E61721">
        <w:rPr>
          <w:rFonts w:asciiTheme="majorBidi" w:hAnsiTheme="majorBidi" w:cstheme="majorBidi"/>
          <w:b/>
          <w:bCs/>
          <w:lang w:val="sq-AL"/>
        </w:rPr>
        <w:t>ZIMET</w:t>
      </w:r>
      <w:r w:rsidR="005B76FC">
        <w:rPr>
          <w:rFonts w:asciiTheme="majorBidi" w:hAnsiTheme="majorBidi" w:cstheme="majorBidi"/>
          <w:b/>
          <w:bCs/>
          <w:lang w:val="sq-AL"/>
        </w:rPr>
        <w:t xml:space="preserve"> PËR</w:t>
      </w:r>
      <w:r w:rsidR="00701556" w:rsidRPr="00E61721">
        <w:rPr>
          <w:rFonts w:asciiTheme="majorBidi" w:hAnsiTheme="majorBidi" w:cstheme="majorBidi"/>
          <w:b/>
          <w:bCs/>
          <w:lang w:val="sq-AL"/>
        </w:rPr>
        <w:t xml:space="preserve"> MAS</w:t>
      </w:r>
      <w:r w:rsidR="008F5472">
        <w:rPr>
          <w:rFonts w:asciiTheme="majorBidi" w:hAnsiTheme="majorBidi" w:cstheme="majorBidi"/>
          <w:b/>
          <w:bCs/>
          <w:lang w:val="sq-AL"/>
        </w:rPr>
        <w:t>ËN</w:t>
      </w:r>
      <w:r w:rsidR="00701556" w:rsidRPr="00E61721">
        <w:rPr>
          <w:rFonts w:asciiTheme="majorBidi" w:hAnsiTheme="majorBidi" w:cstheme="majorBidi"/>
          <w:b/>
          <w:bCs/>
          <w:lang w:val="sq-AL"/>
        </w:rPr>
        <w:t xml:space="preserve"> 5</w:t>
      </w:r>
    </w:p>
    <w:bookmarkEnd w:id="0"/>
    <w:p w14:paraId="70CE9D8B" w14:textId="77777777" w:rsidR="00094D92" w:rsidRPr="00E61721" w:rsidRDefault="00094D92" w:rsidP="00E61721">
      <w:pPr>
        <w:spacing w:line="276" w:lineRule="auto"/>
        <w:rPr>
          <w:rFonts w:asciiTheme="majorBidi" w:hAnsiTheme="majorBidi" w:cstheme="majorBidi"/>
          <w:lang w:val="sq-AL"/>
        </w:rPr>
      </w:pPr>
    </w:p>
    <w:p w14:paraId="4BA76FDF" w14:textId="28EF9F8C" w:rsidR="00701556" w:rsidRPr="00E61721" w:rsidRDefault="00701556" w:rsidP="00E61721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E61721">
        <w:rPr>
          <w:rFonts w:asciiTheme="majorBidi" w:hAnsiTheme="majorBidi" w:cstheme="majorBidi"/>
          <w:b/>
          <w:bCs/>
          <w:i/>
          <w:lang w:val="sq-AL"/>
        </w:rPr>
        <w:t>Pagesa për kontrollin biologjik të dëmtuesve të perimeve (domate, speca, tranguj), në serra dhe/ose luleshtrydheve në tunele plastike.</w:t>
      </w:r>
    </w:p>
    <w:p w14:paraId="717BA88F" w14:textId="77777777" w:rsidR="00701556" w:rsidRPr="00E61721" w:rsidRDefault="00701556" w:rsidP="00E61721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E61721">
        <w:rPr>
          <w:rFonts w:asciiTheme="majorBidi" w:hAnsiTheme="majorBidi" w:cstheme="majorBidi"/>
          <w:b/>
          <w:bCs/>
          <w:i/>
          <w:lang w:val="sq-AL"/>
        </w:rPr>
        <w:t>Masa e përfitimit është 70 (shtatëdhjetë)% e vlerës totale të faturave tatimore, për blerjen e materialeve biologjike, përfshirë insektet e dobishëm, por jo më shumë se 40 000 (dyzet mijë) lekë për dynym në rastin e dy mbjelljeve në vit.</w:t>
      </w:r>
    </w:p>
    <w:p w14:paraId="1911C6EF" w14:textId="1EE8E604" w:rsidR="000C165B" w:rsidRPr="00E61721" w:rsidRDefault="00701556" w:rsidP="00E61721">
      <w:p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i/>
          <w:lang w:val="sq-AL"/>
        </w:rPr>
      </w:pPr>
      <w:r w:rsidRPr="00E61721">
        <w:rPr>
          <w:rFonts w:asciiTheme="majorBidi" w:hAnsiTheme="majorBidi" w:cstheme="majorBidi"/>
          <w:b/>
          <w:bCs/>
          <w:i/>
          <w:lang w:val="sq-AL"/>
        </w:rPr>
        <w:t>Për fermerët individual, që aplikojnë për mbështetje për kontrollin biologjik, sipërfaqja minimale e kultivuar është 1 (një) dynym, ndërsa për aplikantët me status “SHBB” sipërfaqja minimale është 1 (një) ha, për secilën nga mbjel</w:t>
      </w:r>
      <w:r w:rsidR="006C54E6" w:rsidRPr="00E61721">
        <w:rPr>
          <w:rFonts w:asciiTheme="majorBidi" w:hAnsiTheme="majorBidi" w:cstheme="majorBidi"/>
          <w:b/>
          <w:bCs/>
          <w:i/>
          <w:lang w:val="sq-AL"/>
        </w:rPr>
        <w:t>ljet.</w:t>
      </w:r>
    </w:p>
    <w:p w14:paraId="79B02198" w14:textId="77777777" w:rsidR="00701556" w:rsidRDefault="00701556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</w:p>
    <w:p w14:paraId="6D4E567D" w14:textId="77777777" w:rsidR="00637DF4" w:rsidRPr="00E61721" w:rsidRDefault="00637DF4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</w:p>
    <w:p w14:paraId="7584C2C7" w14:textId="73047EAE" w:rsidR="0094618A" w:rsidRPr="002E49B8" w:rsidRDefault="0094618A" w:rsidP="002E49B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color w:val="000000"/>
          <w:lang w:val="sq-AL"/>
        </w:rPr>
      </w:pPr>
      <w:r w:rsidRPr="002E49B8">
        <w:rPr>
          <w:rFonts w:asciiTheme="majorBidi" w:hAnsiTheme="majorBidi" w:cstheme="majorBidi"/>
          <w:b/>
          <w:bCs/>
          <w:color w:val="000000"/>
          <w:lang w:val="sq-AL"/>
        </w:rPr>
        <w:t>Ndalimi i djegies së mbetjeve bimore në tokat e punueshme, përveç rasteve kur kjo bëhet për arsye të shëndetit të bimëve (GAEC 3)</w:t>
      </w:r>
    </w:p>
    <w:p w14:paraId="013151BF" w14:textId="77777777" w:rsidR="0094618A" w:rsidRPr="0094618A" w:rsidRDefault="0094618A" w:rsidP="0094618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</w:p>
    <w:p w14:paraId="5C19ACD4" w14:textId="244783D7" w:rsidR="0094618A" w:rsidRPr="0094618A" w:rsidRDefault="0094618A" w:rsidP="0094618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94618A">
        <w:rPr>
          <w:rFonts w:asciiTheme="majorBidi" w:hAnsiTheme="majorBidi" w:cstheme="majorBidi"/>
          <w:color w:val="000000"/>
          <w:lang w:val="sq-AL"/>
        </w:rPr>
        <w:t>Ky kushtëzim</w:t>
      </w:r>
      <w:r w:rsidR="00096A05">
        <w:rPr>
          <w:rStyle w:val="FootnoteReference"/>
          <w:rFonts w:asciiTheme="majorBidi" w:hAnsiTheme="majorBidi" w:cstheme="majorBidi"/>
          <w:color w:val="000000"/>
          <w:lang w:val="sq-AL"/>
        </w:rPr>
        <w:footnoteReference w:id="1"/>
      </w:r>
      <w:r w:rsidRPr="0094618A">
        <w:rPr>
          <w:rFonts w:asciiTheme="majorBidi" w:hAnsiTheme="majorBidi" w:cstheme="majorBidi"/>
          <w:color w:val="000000"/>
          <w:lang w:val="sq-AL"/>
        </w:rPr>
        <w:t xml:space="preserve"> synon:</w:t>
      </w:r>
    </w:p>
    <w:p w14:paraId="600833CE" w14:textId="00F6BE06" w:rsidR="0094618A" w:rsidRPr="0094618A" w:rsidRDefault="0094618A" w:rsidP="0094618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94618A">
        <w:rPr>
          <w:rFonts w:asciiTheme="majorBidi" w:hAnsiTheme="majorBidi" w:cstheme="majorBidi"/>
          <w:color w:val="000000"/>
          <w:lang w:val="sq-AL"/>
        </w:rPr>
        <w:t xml:space="preserve">Të ndalojë djegien e masës bimore, pjesëve të tyre apo mbetjeve bimore në tokat bujqësore të llojit arë, vresht, pemëtore </w:t>
      </w:r>
      <w:r w:rsidR="0093237D">
        <w:rPr>
          <w:rFonts w:asciiTheme="majorBidi" w:hAnsiTheme="majorBidi" w:cstheme="majorBidi"/>
          <w:color w:val="000000"/>
          <w:lang w:val="sq-AL"/>
        </w:rPr>
        <w:t>si e</w:t>
      </w:r>
      <w:r w:rsidRPr="0094618A">
        <w:rPr>
          <w:rFonts w:asciiTheme="majorBidi" w:hAnsiTheme="majorBidi" w:cstheme="majorBidi"/>
          <w:color w:val="000000"/>
          <w:lang w:val="sq-AL"/>
        </w:rPr>
        <w:t xml:space="preserve">dhe djegia në kullota, shkurre dhe ferra pa miratimin e autoriteteve, sipas përcaktimeve të VKM-së në fuqi. </w:t>
      </w:r>
    </w:p>
    <w:p w14:paraId="35B855A1" w14:textId="23972068" w:rsidR="0094618A" w:rsidRPr="0094618A" w:rsidRDefault="0094618A" w:rsidP="0094618A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94618A">
        <w:rPr>
          <w:rFonts w:asciiTheme="majorBidi" w:hAnsiTheme="majorBidi" w:cstheme="majorBidi"/>
          <w:color w:val="000000"/>
          <w:lang w:val="sq-AL"/>
        </w:rPr>
        <w:t>Gjatë kontrollit në vend, verifiko</w:t>
      </w:r>
      <w:r w:rsidR="00637DF4">
        <w:rPr>
          <w:rFonts w:asciiTheme="majorBidi" w:hAnsiTheme="majorBidi" w:cstheme="majorBidi"/>
          <w:color w:val="000000"/>
          <w:lang w:val="sq-AL"/>
        </w:rPr>
        <w:t>het</w:t>
      </w:r>
      <w:r w:rsidRPr="0094618A">
        <w:rPr>
          <w:rFonts w:asciiTheme="majorBidi" w:hAnsiTheme="majorBidi" w:cstheme="majorBidi"/>
          <w:color w:val="000000"/>
          <w:lang w:val="sq-AL"/>
        </w:rPr>
        <w:t xml:space="preserve"> nëse ka prova të djegies së mbetjeve bimore dhe/ose të mbetjeve plastike në tokën bujqësore, në kundërshtim me legjislacionin në fuqi.</w:t>
      </w:r>
    </w:p>
    <w:p w14:paraId="75E83054" w14:textId="77777777" w:rsidR="005E7468" w:rsidRPr="00E61721" w:rsidRDefault="005E7468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b/>
          <w:lang w:val="it-IT"/>
        </w:rPr>
      </w:pPr>
    </w:p>
    <w:p w14:paraId="6792F735" w14:textId="5FE94CA6" w:rsidR="005E7468" w:rsidRPr="002E49B8" w:rsidRDefault="005E7468" w:rsidP="002E49B8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276" w:lineRule="auto"/>
        <w:ind w:right="4"/>
        <w:jc w:val="both"/>
        <w:rPr>
          <w:rFonts w:asciiTheme="majorBidi" w:hAnsiTheme="majorBidi" w:cstheme="majorBidi"/>
          <w:b/>
          <w:bCs/>
          <w:color w:val="000000"/>
          <w:lang w:val="sq-AL"/>
        </w:rPr>
      </w:pPr>
      <w:bookmarkStart w:id="1" w:name="_GoBack"/>
      <w:bookmarkEnd w:id="1"/>
      <w:r w:rsidRPr="002E49B8">
        <w:rPr>
          <w:rFonts w:asciiTheme="majorBidi" w:hAnsiTheme="majorBidi" w:cstheme="majorBidi"/>
          <w:b/>
          <w:bCs/>
          <w:color w:val="000000"/>
          <w:lang w:val="sq-AL"/>
        </w:rPr>
        <w:t>Përdorimi i duhur dhe i sigurt i produkteve për mbrojtjen e bimëve (SMR 7)</w:t>
      </w:r>
    </w:p>
    <w:p w14:paraId="282303DA" w14:textId="77777777" w:rsidR="005E7468" w:rsidRPr="00A33960" w:rsidRDefault="005E7468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</w:p>
    <w:p w14:paraId="2F20A43E" w14:textId="3ED42679" w:rsidR="00444DA5" w:rsidRPr="00A33960" w:rsidRDefault="00444DA5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A33960">
        <w:rPr>
          <w:rFonts w:asciiTheme="majorBidi" w:hAnsiTheme="majorBidi" w:cstheme="majorBidi"/>
          <w:color w:val="000000"/>
          <w:lang w:val="sq-AL"/>
        </w:rPr>
        <w:t>Ky kushtëzim synon të:</w:t>
      </w:r>
      <w:r w:rsidR="00554C5B">
        <w:rPr>
          <w:rFonts w:asciiTheme="majorBidi" w:hAnsiTheme="majorBidi" w:cstheme="majorBidi"/>
          <w:color w:val="000000"/>
          <w:lang w:val="sq-AL"/>
        </w:rPr>
        <w:t xml:space="preserve"> </w:t>
      </w:r>
    </w:p>
    <w:p w14:paraId="1249B1B2" w14:textId="77777777" w:rsidR="00444DA5" w:rsidRPr="00A33960" w:rsidRDefault="00444DA5" w:rsidP="00E61721">
      <w:pPr>
        <w:numPr>
          <w:ilvl w:val="1"/>
          <w:numId w:val="25"/>
        </w:numPr>
        <w:tabs>
          <w:tab w:val="clear" w:pos="1440"/>
          <w:tab w:val="num" w:pos="180"/>
        </w:tabs>
        <w:autoSpaceDE w:val="0"/>
        <w:autoSpaceDN w:val="0"/>
        <w:adjustRightInd w:val="0"/>
        <w:spacing w:after="0" w:line="276" w:lineRule="auto"/>
        <w:ind w:left="270" w:right="4" w:hanging="180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A33960">
        <w:rPr>
          <w:rFonts w:asciiTheme="majorBidi" w:hAnsiTheme="majorBidi" w:cstheme="majorBidi"/>
          <w:color w:val="000000"/>
          <w:lang w:val="sq-AL"/>
        </w:rPr>
        <w:t>sigurojë që aty ku përdoren produkte për mbrojtjen e bimëve, përdorimi i tyre është i nevojshëm dhe që ato përdoren në një mënyrë që minimizon rrezikun për përdoruesin, mjedisin dhe zinxhirin ushqimor; si dhe të sigurojë përputhshmërinë me etiketën e produktit dhe autorizimin e produktit.</w:t>
      </w:r>
    </w:p>
    <w:p w14:paraId="3032C4F8" w14:textId="77777777" w:rsidR="00444DA5" w:rsidRPr="00A33960" w:rsidRDefault="00444DA5" w:rsidP="00E61721">
      <w:pPr>
        <w:numPr>
          <w:ilvl w:val="1"/>
          <w:numId w:val="25"/>
        </w:numPr>
        <w:tabs>
          <w:tab w:val="clear" w:pos="1440"/>
        </w:tabs>
        <w:autoSpaceDE w:val="0"/>
        <w:autoSpaceDN w:val="0"/>
        <w:adjustRightInd w:val="0"/>
        <w:spacing w:after="0" w:line="276" w:lineRule="auto"/>
        <w:ind w:left="270" w:right="4" w:hanging="180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A33960">
        <w:rPr>
          <w:rFonts w:asciiTheme="majorBidi" w:hAnsiTheme="majorBidi" w:cstheme="majorBidi"/>
          <w:color w:val="000000"/>
          <w:lang w:val="sq-AL"/>
        </w:rPr>
        <w:t>sigurojë që fermerët të përdorin produkte për mbrojtjen e bimëve në mënyrë të sigurt, duke përmbushur kërkesa të caktuara të përdorimit të qëndrueshëm të produkteve të mbrojtjes së bimëve.</w:t>
      </w:r>
    </w:p>
    <w:p w14:paraId="26BB26A0" w14:textId="77777777" w:rsidR="00444DA5" w:rsidRPr="00280186" w:rsidRDefault="00444DA5" w:rsidP="00E61721">
      <w:pPr>
        <w:autoSpaceDE w:val="0"/>
        <w:autoSpaceDN w:val="0"/>
        <w:adjustRightInd w:val="0"/>
        <w:spacing w:after="0" w:line="276" w:lineRule="auto"/>
        <w:ind w:right="4"/>
        <w:contextualSpacing/>
        <w:jc w:val="both"/>
        <w:rPr>
          <w:rFonts w:asciiTheme="majorBidi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Të gjithë përdoruesit profesionistë të produkteve të mbrojtjes së bimëve (PMB) duhet të zbatojnë parimet e përgjithshme të Menaxhimit të Integruar të Dëmtuesve (IPM) dhe të mbajnë të dhëna për të demonstruar zbatimin e Praktikës së Mirë të Mbrojtjes së Bimëve. </w:t>
      </w:r>
    </w:p>
    <w:p w14:paraId="5BE65DC8" w14:textId="2826C057" w:rsidR="00444DA5" w:rsidRPr="00280186" w:rsidRDefault="00840D76" w:rsidP="00280186">
      <w:pPr>
        <w:spacing w:after="0" w:line="276" w:lineRule="auto"/>
        <w:contextualSpacing/>
        <w:jc w:val="both"/>
        <w:rPr>
          <w:rFonts w:asciiTheme="majorBidi" w:eastAsia="Aptos" w:hAnsiTheme="majorBidi" w:cstheme="majorBidi"/>
          <w:lang w:val="sq-AL"/>
        </w:rPr>
      </w:pPr>
      <w:r w:rsidRPr="00280186">
        <w:rPr>
          <w:rFonts w:asciiTheme="majorBidi" w:eastAsia="Aptos" w:hAnsiTheme="majorBidi" w:cstheme="majorBidi"/>
          <w:lang w:val="sq-AL"/>
        </w:rPr>
        <w:lastRenderedPageBreak/>
        <w:t xml:space="preserve">Gjatë kontrollit në vend, specialisti i mbrojtjes së bimëve nga DRVMB verifikon dhe vlerëson, </w:t>
      </w:r>
      <w:r w:rsidR="00663F44">
        <w:rPr>
          <w:rFonts w:asciiTheme="majorBidi" w:eastAsia="Aptos" w:hAnsiTheme="majorBidi" w:cstheme="majorBidi"/>
          <w:lang w:val="sq-AL"/>
        </w:rPr>
        <w:t>n</w:t>
      </w:r>
      <w:r w:rsidRPr="00280186">
        <w:rPr>
          <w:rFonts w:asciiTheme="majorBidi" w:eastAsia="Aptos" w:hAnsiTheme="majorBidi" w:cstheme="majorBidi"/>
          <w:lang w:val="sq-AL"/>
        </w:rPr>
        <w:t>ë</w:t>
      </w:r>
      <w:r w:rsidR="00663F44">
        <w:rPr>
          <w:rFonts w:asciiTheme="majorBidi" w:eastAsia="Aptos" w:hAnsiTheme="majorBidi" w:cstheme="majorBidi"/>
          <w:lang w:val="sq-AL"/>
        </w:rPr>
        <w:t>se</w:t>
      </w:r>
      <w:r w:rsidRPr="00280186">
        <w:rPr>
          <w:rFonts w:ascii="Times New Roman" w:hAnsi="Times New Roman"/>
          <w:color w:val="000000"/>
          <w:lang w:val="sq-AL"/>
        </w:rPr>
        <w:t xml:space="preserve"> f</w:t>
      </w:r>
      <w:r w:rsidRPr="00280186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 xml:space="preserve">ermerët disponojnë </w:t>
      </w:r>
      <w:r w:rsidRPr="00280186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regjistrin</w:t>
      </w:r>
      <w:r w:rsidRPr="00280186">
        <w:rPr>
          <w:rStyle w:val="FootnoteReference"/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footnoteReference w:id="2"/>
      </w:r>
      <w:r w:rsidRPr="00280186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>e përdorimit të PMB-ve</w:t>
      </w:r>
      <w:r w:rsidRPr="00280186">
        <w:rPr>
          <w:rStyle w:val="FootnoteReference"/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footnoteReference w:id="3"/>
      </w:r>
      <w:r w:rsidRPr="00280186">
        <w:rPr>
          <w:rFonts w:ascii="Times New Roman" w:eastAsia="Times New Roman" w:hAnsi="Times New Roman"/>
          <w:bCs/>
          <w:color w:val="000000"/>
          <w:spacing w:val="-3"/>
          <w:bdr w:val="none" w:sz="0" w:space="0" w:color="auto" w:frame="1"/>
          <w:lang w:val="sq-AL"/>
        </w:rPr>
        <w:t xml:space="preserve"> (</w:t>
      </w:r>
      <w:r w:rsidRPr="00280186">
        <w:rPr>
          <w:rFonts w:ascii="Times New Roman" w:hAnsi="Times New Roman"/>
          <w:color w:val="000000"/>
          <w:lang w:val="sq-AL"/>
        </w:rPr>
        <w:t xml:space="preserve">produkteve për mbrojtjen e bimëve) </w:t>
      </w:r>
      <w:r w:rsidRPr="00280186">
        <w:rPr>
          <w:rFonts w:ascii="Times New Roman" w:eastAsia="Times New Roman" w:hAnsi="Times New Roman"/>
          <w:color w:val="000000"/>
          <w:spacing w:val="-3"/>
          <w:bdr w:val="none" w:sz="0" w:space="0" w:color="auto" w:frame="1"/>
          <w:lang w:val="sq-AL"/>
        </w:rPr>
        <w:t>të plotësuar me të dhënat e mëposhtme:</w:t>
      </w:r>
    </w:p>
    <w:p w14:paraId="2FA8AC6E" w14:textId="01E354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>N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umri</w:t>
      </w:r>
      <w:r w:rsidRPr="00280186">
        <w:rPr>
          <w:rFonts w:asciiTheme="majorBidi" w:hAnsiTheme="majorBidi" w:cstheme="majorBidi"/>
          <w:color w:val="000000"/>
          <w:lang w:val="sq-AL"/>
        </w:rPr>
        <w:t xml:space="preserve"> i trajtim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eve</w:t>
      </w:r>
      <w:r w:rsidRPr="00280186">
        <w:rPr>
          <w:rFonts w:asciiTheme="majorBidi" w:hAnsiTheme="majorBidi" w:cstheme="majorBidi"/>
          <w:color w:val="000000"/>
          <w:lang w:val="sq-AL"/>
        </w:rPr>
        <w:t xml:space="preserve"> me PMB, </w:t>
      </w:r>
    </w:p>
    <w:p w14:paraId="74EBCB94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Arsyeja e përdorimit/dëmtuesi, </w:t>
      </w:r>
    </w:p>
    <w:p w14:paraId="14EDE1E2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Faza fenologjike e bimës, </w:t>
      </w:r>
    </w:p>
    <w:p w14:paraId="04FF4AFC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Emri tregtar i PMB-së dhe lënda vepruese, </w:t>
      </w:r>
    </w:p>
    <w:p w14:paraId="50EC5BA5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Blerë nga: (shoqëruar me faturë), </w:t>
      </w:r>
    </w:p>
    <w:p w14:paraId="1684A854" w14:textId="7D4FE0BD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>Sipërfaqja e trajtuar (dy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nym</w:t>
      </w:r>
      <w:r w:rsidRPr="00280186">
        <w:rPr>
          <w:rFonts w:asciiTheme="majorBidi" w:hAnsiTheme="majorBidi" w:cstheme="majorBidi"/>
          <w:color w:val="000000"/>
          <w:lang w:val="sq-AL"/>
        </w:rPr>
        <w:t xml:space="preserve">), </w:t>
      </w:r>
    </w:p>
    <w:p w14:paraId="7A3A5AC1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Doza e përdorur, </w:t>
      </w:r>
    </w:p>
    <w:p w14:paraId="2BB89FD1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Data e trajtimit, </w:t>
      </w:r>
    </w:p>
    <w:p w14:paraId="56949BC4" w14:textId="77777777" w:rsidR="00444DA5" w:rsidRPr="00280186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  <w:lang w:val="sq-AL"/>
        </w:rPr>
      </w:pPr>
      <w:r w:rsidRPr="00280186">
        <w:rPr>
          <w:rFonts w:asciiTheme="majorBidi" w:hAnsiTheme="majorBidi" w:cstheme="majorBidi"/>
          <w:color w:val="000000"/>
          <w:lang w:val="sq-AL"/>
        </w:rPr>
        <w:t xml:space="preserve">Karenca, </w:t>
      </w:r>
    </w:p>
    <w:p w14:paraId="6BDFA2A2" w14:textId="134DA767" w:rsidR="009539D7" w:rsidRPr="00E61721" w:rsidRDefault="00444DA5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280186">
        <w:rPr>
          <w:rFonts w:asciiTheme="majorBidi" w:hAnsiTheme="majorBidi" w:cstheme="majorBidi"/>
          <w:color w:val="000000"/>
          <w:lang w:val="sq-AL"/>
        </w:rPr>
        <w:t>Të dhëna për produktin (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d</w:t>
      </w:r>
      <w:r w:rsidRPr="00280186">
        <w:rPr>
          <w:rFonts w:asciiTheme="majorBidi" w:hAnsiTheme="majorBidi" w:cstheme="majorBidi"/>
          <w:color w:val="000000"/>
          <w:lang w:val="sq-AL"/>
        </w:rPr>
        <w:t xml:space="preserve">ata e vjeljes, 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s</w:t>
      </w:r>
      <w:r w:rsidRPr="00280186">
        <w:rPr>
          <w:rFonts w:asciiTheme="majorBidi" w:hAnsiTheme="majorBidi" w:cstheme="majorBidi"/>
          <w:color w:val="000000"/>
          <w:lang w:val="sq-AL"/>
        </w:rPr>
        <w:t xml:space="preserve">hitur tek, </w:t>
      </w:r>
      <w:r w:rsidR="00E478DC" w:rsidRPr="00280186">
        <w:rPr>
          <w:rFonts w:asciiTheme="majorBidi" w:hAnsiTheme="majorBidi" w:cstheme="majorBidi"/>
          <w:color w:val="000000"/>
          <w:lang w:val="sq-AL"/>
        </w:rPr>
        <w:t>s</w:t>
      </w:r>
      <w:r w:rsidRPr="00280186">
        <w:rPr>
          <w:rFonts w:asciiTheme="majorBidi" w:hAnsiTheme="majorBidi" w:cstheme="majorBidi"/>
          <w:color w:val="000000"/>
          <w:lang w:val="sq-AL"/>
        </w:rPr>
        <w:t>asia kg</w:t>
      </w:r>
      <w:r w:rsidRPr="00E61721">
        <w:rPr>
          <w:rFonts w:asciiTheme="majorBidi" w:hAnsiTheme="majorBidi" w:cstheme="majorBidi"/>
          <w:color w:val="000000"/>
        </w:rPr>
        <w:t>).</w:t>
      </w:r>
    </w:p>
    <w:p w14:paraId="6677E1DA" w14:textId="77777777" w:rsidR="00A13A96" w:rsidRPr="00E61721" w:rsidRDefault="00A13A96" w:rsidP="00E61721">
      <w:pPr>
        <w:pStyle w:val="ListParagraph"/>
        <w:numPr>
          <w:ilvl w:val="1"/>
          <w:numId w:val="24"/>
        </w:numPr>
        <w:shd w:val="clear" w:color="auto" w:fill="FFFFFF"/>
        <w:tabs>
          <w:tab w:val="clear" w:pos="1440"/>
        </w:tabs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  <w:r w:rsidRPr="00E61721">
        <w:rPr>
          <w:rFonts w:asciiTheme="majorBidi" w:eastAsia="Calibri" w:hAnsiTheme="majorBidi" w:cstheme="majorBidi"/>
          <w:kern w:val="0"/>
          <w14:ligatures w14:val="none"/>
        </w:rPr>
        <w:t>K</w:t>
      </w:r>
      <w:r w:rsidRPr="00E61721">
        <w:rPr>
          <w:rFonts w:asciiTheme="majorBidi" w:eastAsia="Calibri" w:hAnsiTheme="majorBidi" w:cstheme="majorBidi"/>
          <w:kern w:val="0"/>
          <w:lang w:val="sq-AL"/>
          <w14:ligatures w14:val="none"/>
        </w:rPr>
        <w:t>ritere të tjera të përcaktuara në legjislacionin përkatës.</w:t>
      </w:r>
    </w:p>
    <w:p w14:paraId="44FE2FAD" w14:textId="77777777" w:rsidR="00A13A96" w:rsidRPr="00E61721" w:rsidRDefault="00A13A96" w:rsidP="00E61721">
      <w:pPr>
        <w:shd w:val="clear" w:color="auto" w:fill="FFFFFF"/>
        <w:spacing w:after="0" w:line="276" w:lineRule="auto"/>
        <w:ind w:left="1080"/>
        <w:jc w:val="both"/>
        <w:rPr>
          <w:rFonts w:asciiTheme="majorBidi" w:eastAsia="Times New Roman" w:hAnsiTheme="majorBidi" w:cstheme="majorBidi"/>
          <w:color w:val="000000"/>
        </w:rPr>
      </w:pPr>
    </w:p>
    <w:p w14:paraId="1687422F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77B4BDC6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6BE1453F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3C2A6684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41ABADB2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72335409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0A89274A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4AB4FB81" w14:textId="77777777" w:rsidR="00444DA5" w:rsidRPr="00E61721" w:rsidRDefault="00444DA5" w:rsidP="00E61721">
      <w:pPr>
        <w:shd w:val="clear" w:color="auto" w:fill="FFFFFF"/>
        <w:spacing w:after="0" w:line="276" w:lineRule="auto"/>
        <w:jc w:val="both"/>
        <w:rPr>
          <w:rFonts w:asciiTheme="majorBidi" w:eastAsia="Times New Roman" w:hAnsiTheme="majorBidi" w:cstheme="majorBidi"/>
          <w:color w:val="000000"/>
        </w:rPr>
      </w:pPr>
    </w:p>
    <w:p w14:paraId="3364EA95" w14:textId="77777777" w:rsidR="009539D7" w:rsidRPr="00E61721" w:rsidRDefault="009539D7" w:rsidP="00E61721">
      <w:pPr>
        <w:spacing w:line="276" w:lineRule="auto"/>
        <w:rPr>
          <w:rFonts w:asciiTheme="majorBidi" w:eastAsia="Calibri" w:hAnsiTheme="majorBidi" w:cstheme="majorBidi"/>
          <w:kern w:val="0"/>
          <w:lang w:val="sq-AL"/>
          <w14:ligatures w14:val="none"/>
        </w:rPr>
      </w:pPr>
    </w:p>
    <w:p w14:paraId="41882075" w14:textId="77777777" w:rsidR="009539D7" w:rsidRPr="00E61721" w:rsidRDefault="009539D7" w:rsidP="00E61721">
      <w:pPr>
        <w:spacing w:line="276" w:lineRule="auto"/>
        <w:rPr>
          <w:rFonts w:asciiTheme="majorBidi" w:eastAsia="Calibri" w:hAnsiTheme="majorBidi" w:cstheme="majorBidi"/>
          <w:kern w:val="0"/>
          <w:lang w:val="sq-AL"/>
          <w14:ligatures w14:val="none"/>
        </w:rPr>
      </w:pPr>
    </w:p>
    <w:sectPr w:rsidR="009539D7" w:rsidRPr="00E617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63A43" w14:textId="77777777" w:rsidR="00313B0C" w:rsidRDefault="00313B0C" w:rsidP="00302019">
      <w:pPr>
        <w:spacing w:after="0" w:line="240" w:lineRule="auto"/>
      </w:pPr>
      <w:r>
        <w:separator/>
      </w:r>
    </w:p>
  </w:endnote>
  <w:endnote w:type="continuationSeparator" w:id="0">
    <w:p w14:paraId="7F0A16A8" w14:textId="77777777" w:rsidR="00313B0C" w:rsidRDefault="00313B0C" w:rsidP="0030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55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099389" w14:textId="4AF26323" w:rsidR="00AF62DD" w:rsidRDefault="00AF62D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07EA60" w14:textId="77777777" w:rsidR="00AF62DD" w:rsidRDefault="00AF62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9CCDF" w14:textId="77777777" w:rsidR="00313B0C" w:rsidRDefault="00313B0C" w:rsidP="00302019">
      <w:pPr>
        <w:spacing w:after="0" w:line="240" w:lineRule="auto"/>
      </w:pPr>
      <w:r>
        <w:separator/>
      </w:r>
    </w:p>
  </w:footnote>
  <w:footnote w:type="continuationSeparator" w:id="0">
    <w:p w14:paraId="6CFB8411" w14:textId="77777777" w:rsidR="00313B0C" w:rsidRDefault="00313B0C" w:rsidP="00302019">
      <w:pPr>
        <w:spacing w:after="0" w:line="240" w:lineRule="auto"/>
      </w:pPr>
      <w:r>
        <w:continuationSeparator/>
      </w:r>
    </w:p>
  </w:footnote>
  <w:footnote w:id="1">
    <w:p w14:paraId="05A048A1" w14:textId="77777777" w:rsidR="00096A05" w:rsidRDefault="00096A05" w:rsidP="00096A0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E1E6C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</w:rPr>
        <w:t xml:space="preserve">VKM nr.404, date 19.06.2024 </w:t>
      </w:r>
      <w:r w:rsidRPr="00AE1E6C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“Për përcaktimin e rregullave të hollësishme, për marrjen e masave parandaluese, për përhapjen e zjarreve në toka bujqësore” në mbështetje të të nenit 16/1 të Ligjit nr. 9244, datë 17.6.2004, “Për mbrojtjen e tokës bujqësore”, të ndryshuar</w:t>
      </w:r>
      <w:r w:rsidRPr="006B6907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,</w:t>
      </w:r>
      <w:r>
        <w:t xml:space="preserve"> </w:t>
      </w:r>
    </w:p>
    <w:p w14:paraId="66999C5B" w14:textId="710F0D92" w:rsidR="00096A05" w:rsidRDefault="00096A05">
      <w:pPr>
        <w:pStyle w:val="FootnoteText"/>
      </w:pPr>
    </w:p>
  </w:footnote>
  <w:footnote w:id="2">
    <w:p w14:paraId="318B1C58" w14:textId="77777777" w:rsidR="00840D76" w:rsidRPr="00E428BD" w:rsidRDefault="00840D76" w:rsidP="00840D76">
      <w:pPr>
        <w:pStyle w:val="FootnoteText"/>
        <w:rPr>
          <w:i/>
          <w:iCs/>
          <w:lang w:val="sq-AL"/>
        </w:rPr>
      </w:pPr>
      <w:r w:rsidRPr="00710AB9">
        <w:rPr>
          <w:rStyle w:val="FootnoteReference"/>
        </w:rPr>
        <w:footnoteRef/>
      </w:r>
      <w:r w:rsidRPr="009D4F21">
        <w:rPr>
          <w:i/>
          <w:iCs/>
          <w:lang w:val="sq-AL"/>
        </w:rPr>
        <w:t xml:space="preserve"> </w:t>
      </w:r>
      <w:r w:rsidRPr="00E428BD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Bazuar në VKM Nr. 317 datë 15.5.2019 “Për miratimin e rregullave për përdorimin e qëndrueshëm të produkteve për mbrojtjen e bimëve dhe kriteret e kualifikimit për përdoruesit”, e ndryshuar</w:t>
      </w:r>
    </w:p>
  </w:footnote>
  <w:footnote w:id="3">
    <w:p w14:paraId="40CB2A45" w14:textId="77777777" w:rsidR="00840D76" w:rsidRPr="009D4F21" w:rsidRDefault="00840D76" w:rsidP="00840D76">
      <w:pPr>
        <w:pStyle w:val="FootnoteText"/>
        <w:rPr>
          <w:i/>
          <w:iCs/>
          <w:lang w:val="sq-AL"/>
        </w:rPr>
      </w:pPr>
      <w:r w:rsidRPr="00E428BD">
        <w:rPr>
          <w:rStyle w:val="FootnoteReference"/>
          <w:lang w:val="sq-AL"/>
        </w:rPr>
        <w:footnoteRef/>
      </w:r>
      <w:r w:rsidRPr="00E428BD">
        <w:rPr>
          <w:i/>
          <w:iCs/>
          <w:lang w:val="sq-AL"/>
        </w:rPr>
        <w:t xml:space="preserve"> </w:t>
      </w:r>
      <w:r w:rsidRPr="00E428BD">
        <w:rPr>
          <w:rFonts w:ascii="Times New Roman" w:eastAsia="Times New Roman" w:hAnsi="Times New Roman"/>
          <w:bCs/>
          <w:i/>
          <w:iCs/>
          <w:color w:val="000000"/>
          <w:spacing w:val="-3"/>
          <w:bdr w:val="none" w:sz="0" w:space="0" w:color="auto" w:frame="1"/>
          <w:lang w:val="sq-AL"/>
        </w:rPr>
        <w:t>Sipas kërkesave të urdhërit 275 datë 14.6.2022 “Për miratimin e modelit të regjistrit të përdorimit të produkteve për mbrojtjen e bimëve në fermë, përmbajtjes dhe plotësimit të tij”</w:t>
      </w:r>
      <w:r w:rsidRPr="00E428BD">
        <w:rPr>
          <w:rFonts w:ascii="Times New Roman" w:eastAsia="Times New Roman" w:hAnsi="Times New Roman"/>
          <w:i/>
          <w:iCs/>
          <w:color w:val="000000"/>
          <w:spacing w:val="-3"/>
          <w:bdr w:val="none" w:sz="0" w:space="0" w:color="auto" w:frame="1"/>
          <w:lang w:val="sq-A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0A8"/>
    <w:multiLevelType w:val="hybridMultilevel"/>
    <w:tmpl w:val="BA70E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0E75"/>
    <w:multiLevelType w:val="multilevel"/>
    <w:tmpl w:val="384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643D01"/>
    <w:multiLevelType w:val="hybridMultilevel"/>
    <w:tmpl w:val="C23AB1DE"/>
    <w:lvl w:ilvl="0" w:tplc="3F8E8938">
      <w:start w:val="1"/>
      <w:numFmt w:val="low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C6320"/>
    <w:multiLevelType w:val="hybridMultilevel"/>
    <w:tmpl w:val="AD7A9E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25C89"/>
    <w:multiLevelType w:val="hybridMultilevel"/>
    <w:tmpl w:val="CBD64A5E"/>
    <w:lvl w:ilvl="0" w:tplc="F13AF7F0">
      <w:start w:val="1"/>
      <w:numFmt w:val="lowerRoman"/>
      <w:lvlText w:val="%1."/>
      <w:lvlJc w:val="left"/>
      <w:pPr>
        <w:ind w:left="720" w:hanging="720"/>
      </w:pPr>
      <w:rPr>
        <w:rFonts w:hint="default"/>
        <w:i/>
      </w:rPr>
    </w:lvl>
    <w:lvl w:ilvl="1" w:tplc="1534DFF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6FA22574">
      <w:start w:val="1"/>
      <w:numFmt w:val="lowerLetter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908A1"/>
    <w:multiLevelType w:val="hybridMultilevel"/>
    <w:tmpl w:val="B074D006"/>
    <w:lvl w:ilvl="0" w:tplc="5A5E21AA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u w:val="none"/>
      </w:rPr>
    </w:lvl>
    <w:lvl w:ilvl="1" w:tplc="17E29EF0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616BA"/>
    <w:multiLevelType w:val="hybridMultilevel"/>
    <w:tmpl w:val="421A6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11370"/>
    <w:multiLevelType w:val="hybridMultilevel"/>
    <w:tmpl w:val="E38E5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BD734C"/>
    <w:multiLevelType w:val="hybridMultilevel"/>
    <w:tmpl w:val="0A3ABF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507E9"/>
    <w:multiLevelType w:val="hybridMultilevel"/>
    <w:tmpl w:val="45149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D0AFA"/>
    <w:multiLevelType w:val="multilevel"/>
    <w:tmpl w:val="3844F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5A4873"/>
    <w:multiLevelType w:val="hybridMultilevel"/>
    <w:tmpl w:val="134804C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67397"/>
    <w:multiLevelType w:val="hybridMultilevel"/>
    <w:tmpl w:val="DDEC5EE6"/>
    <w:lvl w:ilvl="0" w:tplc="2C0C1200">
      <w:start w:val="2"/>
      <w:numFmt w:val="lowerLetter"/>
      <w:lvlText w:val="%1."/>
      <w:lvlJc w:val="left"/>
      <w:pPr>
        <w:ind w:left="720" w:hanging="360"/>
      </w:pPr>
      <w:rPr>
        <w:rFonts w:eastAsia="Calibri" w:hint="default"/>
        <w:b/>
        <w:bCs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E2AA3"/>
    <w:multiLevelType w:val="hybridMultilevel"/>
    <w:tmpl w:val="BA98FE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5C70FC"/>
    <w:multiLevelType w:val="hybridMultilevel"/>
    <w:tmpl w:val="03E6D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E12F6"/>
    <w:multiLevelType w:val="hybridMultilevel"/>
    <w:tmpl w:val="255A3E2A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i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  <w:rPr>
        <w:rFonts w:hint="default"/>
        <w:strike w:val="0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3F7E"/>
    <w:multiLevelType w:val="hybridMultilevel"/>
    <w:tmpl w:val="2AB6E51E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i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C1C10"/>
    <w:multiLevelType w:val="hybridMultilevel"/>
    <w:tmpl w:val="7788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466A1"/>
    <w:multiLevelType w:val="hybridMultilevel"/>
    <w:tmpl w:val="FFE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02A91"/>
    <w:multiLevelType w:val="hybridMultilevel"/>
    <w:tmpl w:val="E70C5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055C5"/>
    <w:multiLevelType w:val="hybridMultilevel"/>
    <w:tmpl w:val="6B68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55F5"/>
    <w:multiLevelType w:val="hybridMultilevel"/>
    <w:tmpl w:val="AC34DE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83ED8"/>
    <w:multiLevelType w:val="hybridMultilevel"/>
    <w:tmpl w:val="3138881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10E4A"/>
    <w:multiLevelType w:val="hybridMultilevel"/>
    <w:tmpl w:val="A720E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D6A9F"/>
    <w:multiLevelType w:val="hybridMultilevel"/>
    <w:tmpl w:val="60E466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007BF3"/>
    <w:multiLevelType w:val="hybridMultilevel"/>
    <w:tmpl w:val="EFDED8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1900018"/>
    <w:multiLevelType w:val="hybridMultilevel"/>
    <w:tmpl w:val="9EAA8FDA"/>
    <w:lvl w:ilvl="0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406673"/>
    <w:multiLevelType w:val="hybridMultilevel"/>
    <w:tmpl w:val="007C0624"/>
    <w:lvl w:ilvl="0" w:tplc="F4E6E28A">
      <w:start w:val="1"/>
      <w:numFmt w:val="lowerLetter"/>
      <w:lvlText w:val="%1."/>
      <w:lvlJc w:val="left"/>
      <w:pPr>
        <w:ind w:left="144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F3C62C7"/>
    <w:multiLevelType w:val="hybridMultilevel"/>
    <w:tmpl w:val="4F5A83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9"/>
  </w:num>
  <w:num w:numId="4">
    <w:abstractNumId w:val="12"/>
  </w:num>
  <w:num w:numId="5">
    <w:abstractNumId w:val="23"/>
  </w:num>
  <w:num w:numId="6">
    <w:abstractNumId w:val="18"/>
  </w:num>
  <w:num w:numId="7">
    <w:abstractNumId w:val="7"/>
  </w:num>
  <w:num w:numId="8">
    <w:abstractNumId w:val="27"/>
  </w:num>
  <w:num w:numId="9">
    <w:abstractNumId w:val="17"/>
  </w:num>
  <w:num w:numId="10">
    <w:abstractNumId w:val="6"/>
  </w:num>
  <w:num w:numId="11">
    <w:abstractNumId w:val="2"/>
  </w:num>
  <w:num w:numId="12">
    <w:abstractNumId w:val="0"/>
  </w:num>
  <w:num w:numId="13">
    <w:abstractNumId w:val="11"/>
  </w:num>
  <w:num w:numId="14">
    <w:abstractNumId w:val="5"/>
  </w:num>
  <w:num w:numId="15">
    <w:abstractNumId w:val="26"/>
  </w:num>
  <w:num w:numId="16">
    <w:abstractNumId w:val="9"/>
  </w:num>
  <w:num w:numId="17">
    <w:abstractNumId w:val="20"/>
  </w:num>
  <w:num w:numId="18">
    <w:abstractNumId w:val="25"/>
  </w:num>
  <w:num w:numId="19">
    <w:abstractNumId w:val="15"/>
  </w:num>
  <w:num w:numId="20">
    <w:abstractNumId w:val="21"/>
  </w:num>
  <w:num w:numId="21">
    <w:abstractNumId w:val="16"/>
  </w:num>
  <w:num w:numId="22">
    <w:abstractNumId w:val="8"/>
  </w:num>
  <w:num w:numId="23">
    <w:abstractNumId w:val="28"/>
  </w:num>
  <w:num w:numId="24">
    <w:abstractNumId w:val="10"/>
  </w:num>
  <w:num w:numId="25">
    <w:abstractNumId w:val="1"/>
  </w:num>
  <w:num w:numId="26">
    <w:abstractNumId w:val="22"/>
  </w:num>
  <w:num w:numId="27">
    <w:abstractNumId w:val="13"/>
  </w:num>
  <w:num w:numId="28">
    <w:abstractNumId w:val="2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566"/>
    <w:rsid w:val="00007B03"/>
    <w:rsid w:val="00041575"/>
    <w:rsid w:val="00077440"/>
    <w:rsid w:val="00094D92"/>
    <w:rsid w:val="00096A05"/>
    <w:rsid w:val="000C165B"/>
    <w:rsid w:val="000D0967"/>
    <w:rsid w:val="000D0B7F"/>
    <w:rsid w:val="000E0195"/>
    <w:rsid w:val="00100B2B"/>
    <w:rsid w:val="00133A74"/>
    <w:rsid w:val="001A5B49"/>
    <w:rsid w:val="001C1CC2"/>
    <w:rsid w:val="001F6839"/>
    <w:rsid w:val="002372E5"/>
    <w:rsid w:val="00280186"/>
    <w:rsid w:val="002A02DF"/>
    <w:rsid w:val="002E49B8"/>
    <w:rsid w:val="00302019"/>
    <w:rsid w:val="00313B0C"/>
    <w:rsid w:val="00320638"/>
    <w:rsid w:val="00323566"/>
    <w:rsid w:val="00396AC4"/>
    <w:rsid w:val="003C214F"/>
    <w:rsid w:val="003D1692"/>
    <w:rsid w:val="003E50C8"/>
    <w:rsid w:val="003F2BB3"/>
    <w:rsid w:val="004069F8"/>
    <w:rsid w:val="00407302"/>
    <w:rsid w:val="004250CD"/>
    <w:rsid w:val="00444DA5"/>
    <w:rsid w:val="0049661C"/>
    <w:rsid w:val="004D2670"/>
    <w:rsid w:val="00554C5B"/>
    <w:rsid w:val="00566EB7"/>
    <w:rsid w:val="00584CF3"/>
    <w:rsid w:val="005B76FC"/>
    <w:rsid w:val="005E56B9"/>
    <w:rsid w:val="005E7468"/>
    <w:rsid w:val="005F195C"/>
    <w:rsid w:val="00610AA1"/>
    <w:rsid w:val="0061610E"/>
    <w:rsid w:val="0063031F"/>
    <w:rsid w:val="00637DF4"/>
    <w:rsid w:val="00663F44"/>
    <w:rsid w:val="0066752C"/>
    <w:rsid w:val="00676EA7"/>
    <w:rsid w:val="006A4EBB"/>
    <w:rsid w:val="006C54E6"/>
    <w:rsid w:val="00701556"/>
    <w:rsid w:val="00786A56"/>
    <w:rsid w:val="007A1D6E"/>
    <w:rsid w:val="007C4F9A"/>
    <w:rsid w:val="00803283"/>
    <w:rsid w:val="00825C67"/>
    <w:rsid w:val="00840D76"/>
    <w:rsid w:val="0084454A"/>
    <w:rsid w:val="00876F58"/>
    <w:rsid w:val="00884820"/>
    <w:rsid w:val="00886AB3"/>
    <w:rsid w:val="008B2CCF"/>
    <w:rsid w:val="008F2C4E"/>
    <w:rsid w:val="008F5472"/>
    <w:rsid w:val="0090404A"/>
    <w:rsid w:val="009162CC"/>
    <w:rsid w:val="00927690"/>
    <w:rsid w:val="0093237D"/>
    <w:rsid w:val="00937449"/>
    <w:rsid w:val="0094618A"/>
    <w:rsid w:val="009539D7"/>
    <w:rsid w:val="009C1B2E"/>
    <w:rsid w:val="009E2670"/>
    <w:rsid w:val="00A13A96"/>
    <w:rsid w:val="00A20437"/>
    <w:rsid w:val="00A33960"/>
    <w:rsid w:val="00A87F65"/>
    <w:rsid w:val="00AB3CFA"/>
    <w:rsid w:val="00AE32C3"/>
    <w:rsid w:val="00AF62DD"/>
    <w:rsid w:val="00B17F80"/>
    <w:rsid w:val="00B968EB"/>
    <w:rsid w:val="00C51E81"/>
    <w:rsid w:val="00C9117D"/>
    <w:rsid w:val="00CA3E5C"/>
    <w:rsid w:val="00D24D68"/>
    <w:rsid w:val="00DA6F33"/>
    <w:rsid w:val="00DD7C7A"/>
    <w:rsid w:val="00E42909"/>
    <w:rsid w:val="00E478DC"/>
    <w:rsid w:val="00E51A09"/>
    <w:rsid w:val="00E55CC9"/>
    <w:rsid w:val="00E61721"/>
    <w:rsid w:val="00E86DEE"/>
    <w:rsid w:val="00E9625F"/>
    <w:rsid w:val="00EA5E96"/>
    <w:rsid w:val="00ED4F50"/>
    <w:rsid w:val="00EE65E3"/>
    <w:rsid w:val="00F72FAF"/>
    <w:rsid w:val="00FB44B2"/>
    <w:rsid w:val="00FB65F7"/>
    <w:rsid w:val="00FD5134"/>
    <w:rsid w:val="00FE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1D95"/>
  <w15:docId w15:val="{D14CB593-86E1-46AC-8C2C-7E97FBAC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5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5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5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5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5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5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5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5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5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5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5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5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5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5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5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5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5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5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5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5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5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5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5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566"/>
    <w:rPr>
      <w:i/>
      <w:iCs/>
      <w:color w:val="404040" w:themeColor="text1" w:themeTint="BF"/>
    </w:rPr>
  </w:style>
  <w:style w:type="paragraph" w:styleId="ListParagraph">
    <w:name w:val="List Paragraph"/>
    <w:aliases w:val="List Paragraph 1,Akapit z listą BS,Bullets,List Paragraph (numbered (a)),Normal 1,PDP DOCUMENT SUBTITLE,List Paragraph1,Bullet Points,Liste Paragraf,Bullet1,NumberedParas,Dot pt,F5 List Paragraph,List Paragraph Char Char Char,References"/>
    <w:basedOn w:val="Normal"/>
    <w:link w:val="ListParagraphChar"/>
    <w:uiPriority w:val="34"/>
    <w:qFormat/>
    <w:rsid w:val="003235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5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5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5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566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3020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019"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0201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2019"/>
    <w:rPr>
      <w:sz w:val="20"/>
      <w:szCs w:val="20"/>
    </w:rPr>
  </w:style>
  <w:style w:type="character" w:styleId="CommentReference">
    <w:name w:val="annotation reference"/>
    <w:uiPriority w:val="99"/>
    <w:semiHidden/>
    <w:unhideWhenUsed/>
    <w:rsid w:val="00302019"/>
    <w:rPr>
      <w:sz w:val="16"/>
      <w:szCs w:val="16"/>
    </w:rPr>
  </w:style>
  <w:style w:type="character" w:styleId="FootnoteReference">
    <w:name w:val="footnote reference"/>
    <w:aliases w:val="ftref,BVI fnr,16 Point,Superscript 6 Point,Fußnotenzeichen DISS,Footnote,Footnote symbol,Char1 Char Char Char Char, Char1 Char Char Char Char,Odwołanie przypisu,fr,Rimando nota a piè di pagina2,Footnote Reference Arial,callout,Ref,o"/>
    <w:link w:val="Char2"/>
    <w:uiPriority w:val="99"/>
    <w:qFormat/>
    <w:rsid w:val="0030201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0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019"/>
  </w:style>
  <w:style w:type="paragraph" w:styleId="Footer">
    <w:name w:val="footer"/>
    <w:basedOn w:val="Normal"/>
    <w:link w:val="FooterChar"/>
    <w:uiPriority w:val="99"/>
    <w:unhideWhenUsed/>
    <w:rsid w:val="00302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019"/>
  </w:style>
  <w:style w:type="paragraph" w:customStyle="1" w:styleId="Char2">
    <w:name w:val="Char2"/>
    <w:basedOn w:val="Normal"/>
    <w:link w:val="FootnoteReference"/>
    <w:uiPriority w:val="99"/>
    <w:rsid w:val="00676EA7"/>
    <w:pPr>
      <w:spacing w:line="240" w:lineRule="exact"/>
    </w:pPr>
    <w:rPr>
      <w:vertAlign w:val="superscript"/>
    </w:rPr>
  </w:style>
  <w:style w:type="character" w:customStyle="1" w:styleId="ListParagraphChar">
    <w:name w:val="List Paragraph Char"/>
    <w:aliases w:val="List Paragraph 1 Char,Akapit z listą BS Char,Bullets Char,List Paragraph (numbered (a)) Char,Normal 1 Char,PDP DOCUMENT SUBTITLE Char,List Paragraph1 Char,Bullet Points Char,Liste Paragraf Char,Bullet1 Char,NumberedParas Char"/>
    <w:link w:val="ListParagraph"/>
    <w:uiPriority w:val="34"/>
    <w:qFormat/>
    <w:locked/>
    <w:rsid w:val="00876F58"/>
  </w:style>
  <w:style w:type="paragraph" w:styleId="BalloonText">
    <w:name w:val="Balloon Text"/>
    <w:basedOn w:val="Normal"/>
    <w:link w:val="BalloonTextChar"/>
    <w:uiPriority w:val="99"/>
    <w:semiHidden/>
    <w:unhideWhenUsed/>
    <w:rsid w:val="008B2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CCF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50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50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2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276D-F313-47BC-B522-DFCC0B84B9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2261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2026-05-07T10:07:00Z</cp:lastPrinted>
  <dcterms:created xsi:type="dcterms:W3CDTF">2026-05-07T10:08:00Z</dcterms:created>
  <dcterms:modified xsi:type="dcterms:W3CDTF">2026-05-08T10:04:00Z</dcterms:modified>
</cp:coreProperties>
</file>