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19BF5" w14:textId="1F97EC9B" w:rsidR="0043129E" w:rsidRPr="001A6569" w:rsidRDefault="0043129E" w:rsidP="00A97ECC">
      <w:pPr>
        <w:spacing w:after="160"/>
        <w:rPr>
          <w:rFonts w:asciiTheme="majorBidi" w:eastAsia="Aptos" w:hAnsiTheme="majorBidi" w:cstheme="majorBidi"/>
          <w:b/>
          <w:bCs/>
          <w:iCs/>
          <w:kern w:val="2"/>
          <w:sz w:val="24"/>
          <w:szCs w:val="24"/>
          <w14:ligatures w14:val="standardContextual"/>
        </w:rPr>
      </w:pPr>
      <w:r w:rsidRPr="00044997">
        <w:rPr>
          <w:rFonts w:asciiTheme="majorBidi" w:eastAsia="Aptos" w:hAnsiTheme="majorBidi" w:cstheme="majorBidi"/>
          <w:b/>
          <w:bCs/>
          <w:iCs/>
          <w:kern w:val="2"/>
          <w:sz w:val="24"/>
          <w:szCs w:val="24"/>
          <w14:ligatures w14:val="standardContextual"/>
        </w:rPr>
        <w:t xml:space="preserve">ANEKSI </w:t>
      </w:r>
      <w:r w:rsidR="00A97ECC" w:rsidRPr="00044997">
        <w:rPr>
          <w:rFonts w:asciiTheme="majorBidi" w:eastAsia="Aptos" w:hAnsiTheme="majorBidi" w:cstheme="majorBidi"/>
          <w:b/>
          <w:bCs/>
          <w:iCs/>
          <w:kern w:val="2"/>
          <w:sz w:val="24"/>
          <w:szCs w:val="24"/>
          <w14:ligatures w14:val="standardContextual"/>
        </w:rPr>
        <w:t>3</w:t>
      </w:r>
      <w:r w:rsidR="00A97ECC">
        <w:rPr>
          <w:rFonts w:asciiTheme="majorBidi" w:eastAsia="Aptos" w:hAnsiTheme="majorBidi" w:cstheme="majorBidi"/>
          <w:b/>
          <w:bCs/>
          <w:iCs/>
          <w:kern w:val="2"/>
          <w:sz w:val="24"/>
          <w:szCs w:val="24"/>
          <w14:ligatures w14:val="standardContextual"/>
        </w:rPr>
        <w:t xml:space="preserve">.  </w:t>
      </w:r>
      <w:r w:rsidRPr="001A6569">
        <w:rPr>
          <w:rFonts w:asciiTheme="majorBidi" w:eastAsia="Aptos" w:hAnsiTheme="majorBidi" w:cstheme="majorBidi"/>
          <w:b/>
          <w:bCs/>
          <w:iCs/>
          <w:kern w:val="2"/>
          <w:sz w:val="24"/>
          <w:szCs w:val="24"/>
          <w14:ligatures w14:val="standardContextual"/>
        </w:rPr>
        <w:t xml:space="preserve">KUSHTËZIMET </w:t>
      </w:r>
      <w:r w:rsidR="0074394C" w:rsidRPr="001A6569">
        <w:rPr>
          <w:rFonts w:asciiTheme="majorBidi" w:eastAsia="Aptos" w:hAnsiTheme="majorBidi" w:cstheme="majorBidi"/>
          <w:b/>
          <w:bCs/>
          <w:iCs/>
          <w:kern w:val="2"/>
          <w:sz w:val="24"/>
          <w:szCs w:val="24"/>
          <w14:ligatures w14:val="standardContextual"/>
        </w:rPr>
        <w:t>PËR</w:t>
      </w:r>
      <w:r w:rsidRPr="001A6569">
        <w:rPr>
          <w:rFonts w:asciiTheme="majorBidi" w:eastAsia="Aptos" w:hAnsiTheme="majorBidi" w:cstheme="majorBidi"/>
          <w:b/>
          <w:bCs/>
          <w:iCs/>
          <w:kern w:val="2"/>
          <w:sz w:val="24"/>
          <w:szCs w:val="24"/>
          <w14:ligatures w14:val="standardContextual"/>
        </w:rPr>
        <w:t xml:space="preserve"> MAS</w:t>
      </w:r>
      <w:r w:rsidR="0074394C" w:rsidRPr="001A6569">
        <w:rPr>
          <w:rFonts w:asciiTheme="majorBidi" w:eastAsia="Aptos" w:hAnsiTheme="majorBidi" w:cstheme="majorBidi"/>
          <w:b/>
          <w:bCs/>
          <w:iCs/>
          <w:kern w:val="2"/>
          <w:sz w:val="24"/>
          <w:szCs w:val="24"/>
          <w14:ligatures w14:val="standardContextual"/>
        </w:rPr>
        <w:t>ËN</w:t>
      </w:r>
      <w:r w:rsidR="00A97ECC">
        <w:rPr>
          <w:rFonts w:asciiTheme="majorBidi" w:eastAsia="Aptos" w:hAnsiTheme="majorBidi" w:cstheme="majorBidi"/>
          <w:b/>
          <w:bCs/>
          <w:iCs/>
          <w:kern w:val="2"/>
          <w:sz w:val="24"/>
          <w:szCs w:val="24"/>
          <w14:ligatures w14:val="standardContextual"/>
        </w:rPr>
        <w:t xml:space="preserve"> </w:t>
      </w:r>
      <w:r w:rsidRPr="001A6569">
        <w:rPr>
          <w:rFonts w:asciiTheme="majorBidi" w:eastAsia="Aptos" w:hAnsiTheme="majorBidi" w:cstheme="majorBidi"/>
          <w:b/>
          <w:bCs/>
          <w:iCs/>
          <w:kern w:val="2"/>
          <w:sz w:val="24"/>
          <w:szCs w:val="24"/>
          <w14:ligatures w14:val="standardContextual"/>
        </w:rPr>
        <w:t xml:space="preserve"> 2</w:t>
      </w:r>
    </w:p>
    <w:p w14:paraId="0CE19BF6" w14:textId="77777777" w:rsidR="0043129E" w:rsidRPr="001A6569" w:rsidRDefault="0043129E" w:rsidP="002A75AA">
      <w:pPr>
        <w:spacing w:after="160"/>
        <w:jc w:val="both"/>
        <w:rPr>
          <w:rFonts w:asciiTheme="majorBidi" w:eastAsia="Aptos" w:hAnsiTheme="majorBidi" w:cstheme="majorBidi"/>
          <w:bCs/>
          <w:kern w:val="2"/>
          <w:sz w:val="24"/>
          <w:szCs w:val="24"/>
          <w14:ligatures w14:val="standardContextual"/>
        </w:rPr>
      </w:pPr>
    </w:p>
    <w:p w14:paraId="0CE19BF8" w14:textId="2C937793" w:rsidR="0043129E" w:rsidRPr="001A6569" w:rsidRDefault="0043129E" w:rsidP="002A75AA">
      <w:pPr>
        <w:spacing w:after="160"/>
        <w:contextualSpacing/>
        <w:jc w:val="both"/>
        <w:rPr>
          <w:rFonts w:asciiTheme="majorBidi" w:eastAsia="Aptos" w:hAnsiTheme="majorBidi" w:cstheme="majorBidi"/>
          <w:b/>
          <w:bCs/>
          <w:i/>
          <w:kern w:val="2"/>
          <w:sz w:val="24"/>
          <w:szCs w:val="24"/>
          <w14:ligatures w14:val="standardContextual"/>
        </w:rPr>
      </w:pPr>
      <w:r w:rsidRPr="001A6569">
        <w:rPr>
          <w:rFonts w:asciiTheme="majorBidi" w:eastAsia="Aptos" w:hAnsiTheme="majorBidi" w:cstheme="majorBidi"/>
          <w:b/>
          <w:bCs/>
          <w:i/>
          <w:kern w:val="2"/>
          <w:sz w:val="24"/>
          <w:szCs w:val="24"/>
          <w14:ligatures w14:val="standardContextual"/>
        </w:rPr>
        <w:t xml:space="preserve">Pagesa në vlerën deri në 1 500 (njëmijë e pesëqind) lekë/krerë për tufën bazë të matrikulluar (kafshët riprodhuese), për fermer/aplikant me jo më pak se 50 (pesëdhjetë) krerë dele dhe/ose dhi. </w:t>
      </w:r>
    </w:p>
    <w:p w14:paraId="0CE19BF9" w14:textId="77777777" w:rsidR="0043129E" w:rsidRPr="001A6569" w:rsidRDefault="0043129E" w:rsidP="002A75AA">
      <w:pPr>
        <w:spacing w:after="160"/>
        <w:contextualSpacing/>
        <w:jc w:val="both"/>
        <w:rPr>
          <w:rFonts w:asciiTheme="majorBidi" w:eastAsia="Aptos" w:hAnsiTheme="majorBidi" w:cstheme="majorBidi"/>
          <w:b/>
          <w:bCs/>
          <w:kern w:val="2"/>
          <w:sz w:val="24"/>
          <w:szCs w:val="24"/>
          <w14:ligatures w14:val="standardContextual"/>
        </w:rPr>
      </w:pPr>
      <w:r w:rsidRPr="001A6569">
        <w:rPr>
          <w:rFonts w:asciiTheme="majorBidi" w:eastAsia="Aptos" w:hAnsiTheme="majorBidi" w:cstheme="majorBidi"/>
          <w:b/>
          <w:bCs/>
          <w:i/>
          <w:kern w:val="2"/>
          <w:sz w:val="24"/>
          <w:szCs w:val="24"/>
          <w14:ligatures w14:val="standardContextual"/>
        </w:rPr>
        <w:t>Për pjesën mbi 300 (treqind) krerë masa e përfitimit zvogëlohet me 50%, përjashtuar rastet e aplikantëve me status “SHBB”.</w:t>
      </w:r>
    </w:p>
    <w:p w14:paraId="0CE19BFA" w14:textId="77777777" w:rsidR="004F4891" w:rsidRPr="001A6569" w:rsidRDefault="004F4891" w:rsidP="002A75AA">
      <w:pPr>
        <w:autoSpaceDE w:val="0"/>
        <w:autoSpaceDN w:val="0"/>
        <w:adjustRightInd w:val="0"/>
        <w:spacing w:after="0"/>
        <w:ind w:right="4"/>
        <w:jc w:val="both"/>
        <w:rPr>
          <w:rFonts w:asciiTheme="majorBidi" w:eastAsia="Aptos" w:hAnsiTheme="majorBidi" w:cstheme="majorBidi"/>
          <w:kern w:val="2"/>
          <w:sz w:val="24"/>
          <w:szCs w:val="24"/>
          <w14:ligatures w14:val="standardContextual"/>
        </w:rPr>
      </w:pPr>
    </w:p>
    <w:p w14:paraId="525D63FA" w14:textId="77777777" w:rsidR="006E5143" w:rsidRPr="001A6569" w:rsidRDefault="006E5143" w:rsidP="002A75AA">
      <w:pPr>
        <w:autoSpaceDE w:val="0"/>
        <w:autoSpaceDN w:val="0"/>
        <w:adjustRightInd w:val="0"/>
        <w:spacing w:after="0"/>
        <w:ind w:right="4"/>
        <w:jc w:val="both"/>
        <w:rPr>
          <w:rFonts w:asciiTheme="majorBidi" w:eastAsia="Aptos" w:hAnsiTheme="majorBidi" w:cstheme="majorBidi"/>
          <w:kern w:val="2"/>
          <w:sz w:val="24"/>
          <w:szCs w:val="24"/>
          <w14:ligatures w14:val="standardContextual"/>
        </w:rPr>
      </w:pPr>
    </w:p>
    <w:p w14:paraId="0CE19BFD" w14:textId="0FF5BC69" w:rsidR="004F4891" w:rsidRPr="001A6569" w:rsidRDefault="004F4891" w:rsidP="002A75AA">
      <w:pPr>
        <w:numPr>
          <w:ilvl w:val="0"/>
          <w:numId w:val="2"/>
        </w:numPr>
        <w:autoSpaceDE w:val="0"/>
        <w:autoSpaceDN w:val="0"/>
        <w:adjustRightInd w:val="0"/>
        <w:spacing w:after="0"/>
        <w:ind w:left="450" w:right="4" w:hanging="270"/>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b/>
          <w:bCs/>
          <w:kern w:val="2"/>
          <w:sz w:val="24"/>
          <w:szCs w:val="24"/>
          <w14:ligatures w14:val="standardContextual"/>
        </w:rPr>
        <w:t>Kufizime në përdorimin e substancave që kanë veprim hormonal ose tireostatik dhe beta-agonistëve në kafshët e fermës</w:t>
      </w:r>
      <w:r w:rsidRPr="001A6569">
        <w:rPr>
          <w:rFonts w:asciiTheme="majorBidi" w:eastAsia="Aptos" w:hAnsiTheme="majorBidi" w:cstheme="majorBidi"/>
          <w:b/>
          <w:bCs/>
          <w:i/>
          <w:iCs/>
          <w:kern w:val="2"/>
          <w:sz w:val="24"/>
          <w:szCs w:val="24"/>
          <w14:ligatures w14:val="standardContextual"/>
        </w:rPr>
        <w:t xml:space="preserve"> </w:t>
      </w:r>
      <w:r w:rsidR="00FC0F49" w:rsidRPr="001A6569">
        <w:rPr>
          <w:rFonts w:asciiTheme="majorBidi" w:eastAsia="Aptos" w:hAnsiTheme="majorBidi" w:cstheme="majorBidi"/>
          <w:b/>
          <w:bCs/>
          <w:iCs/>
          <w:kern w:val="2"/>
          <w:sz w:val="24"/>
          <w:szCs w:val="24"/>
          <w14:ligatures w14:val="standardContextual"/>
        </w:rPr>
        <w:t>(SMR 6)</w:t>
      </w:r>
    </w:p>
    <w:p w14:paraId="58F5A9AA" w14:textId="77777777" w:rsidR="00A97ECC" w:rsidRDefault="00A97ECC" w:rsidP="005E1122">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p>
    <w:p w14:paraId="20716F35" w14:textId="225CB0C1" w:rsidR="005E1122" w:rsidRDefault="004F4891" w:rsidP="005E1122">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Ky kushtëzim</w:t>
      </w:r>
      <w:r w:rsidRPr="001A6569">
        <w:rPr>
          <w:rFonts w:asciiTheme="majorBidi" w:eastAsia="Aptos" w:hAnsiTheme="majorBidi" w:cstheme="majorBidi"/>
          <w:kern w:val="2"/>
          <w:sz w:val="24"/>
          <w:szCs w:val="24"/>
          <w:vertAlign w:val="superscript"/>
          <w14:ligatures w14:val="standardContextual"/>
        </w:rPr>
        <w:footnoteReference w:id="1"/>
      </w:r>
      <w:r w:rsidRPr="001A6569">
        <w:rPr>
          <w:rFonts w:asciiTheme="majorBidi" w:eastAsia="Aptos" w:hAnsiTheme="majorBidi" w:cstheme="majorBidi"/>
          <w:kern w:val="2"/>
          <w:sz w:val="24"/>
          <w:szCs w:val="24"/>
          <w14:ligatures w14:val="standardContextual"/>
        </w:rPr>
        <w:t xml:space="preserve"> synon të </w:t>
      </w:r>
      <w:r w:rsidR="005E1122" w:rsidRPr="005E1122">
        <w:rPr>
          <w:rFonts w:asciiTheme="majorBidi" w:eastAsia="Aptos" w:hAnsiTheme="majorBidi" w:cstheme="majorBidi"/>
          <w:kern w:val="2"/>
          <w:sz w:val="24"/>
          <w:szCs w:val="24"/>
          <w14:ligatures w14:val="standardContextual"/>
        </w:rPr>
        <w:t xml:space="preserve">ndalojë përdorimin e paligjshëm të substancave me qëllim parandalimin e mbetjeve që këto substanca lënë në mish dhe ushqimeve të tjera që të hyjnë në zinxhirin ushqimor të njerëzve ose të kafshëve. </w:t>
      </w:r>
    </w:p>
    <w:p w14:paraId="0A8391F3" w14:textId="77777777" w:rsidR="00803B3E" w:rsidRDefault="00803B3E" w:rsidP="005E1122">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p>
    <w:p w14:paraId="5B7FF3A4" w14:textId="7482E01B" w:rsidR="00A612C5" w:rsidRDefault="00A612C5" w:rsidP="005E1122">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Gjatë kontrollit në vend, specialisti veterinar nga DRVMB verifikon dhe vlerëson, për:</w:t>
      </w:r>
    </w:p>
    <w:p w14:paraId="5BDC5AED" w14:textId="77777777" w:rsidR="00803B3E" w:rsidRPr="001A6569" w:rsidRDefault="00803B3E" w:rsidP="005E1122">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p>
    <w:p w14:paraId="56B2CE0B" w14:textId="77777777" w:rsidR="00A612C5" w:rsidRPr="001A6569" w:rsidRDefault="00A612C5" w:rsidP="00A612C5">
      <w:pPr>
        <w:numPr>
          <w:ilvl w:val="0"/>
          <w:numId w:val="1"/>
        </w:numPr>
        <w:spacing w:after="160"/>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 xml:space="preserve">Trajtimet e kafshëve me hormone që janë të ndaluara; </w:t>
      </w:r>
    </w:p>
    <w:p w14:paraId="24975251" w14:textId="77777777" w:rsidR="00A612C5" w:rsidRPr="001A6569" w:rsidRDefault="00A612C5" w:rsidP="00A612C5">
      <w:pPr>
        <w:numPr>
          <w:ilvl w:val="0"/>
          <w:numId w:val="1"/>
        </w:numPr>
        <w:spacing w:after="160"/>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 xml:space="preserve">Të gjitha të dhënat mjekësore veterinare që lidhen me trajtimin e kafshëve </w:t>
      </w:r>
      <w:r w:rsidRPr="001A6569">
        <w:rPr>
          <w:rFonts w:asciiTheme="majorBidi" w:eastAsia="Aptos" w:hAnsiTheme="majorBidi" w:cstheme="majorBidi"/>
          <w:bCs/>
          <w:kern w:val="2"/>
          <w:sz w:val="24"/>
          <w:szCs w:val="24"/>
          <w14:ligatures w14:val="standardContextual"/>
        </w:rPr>
        <w:t>duhet të mbahen në: “Regjistrin përkatës të fermës për trajtimet veterinare”</w:t>
      </w:r>
      <w:r w:rsidRPr="001A6569">
        <w:rPr>
          <w:rFonts w:asciiTheme="majorBidi" w:eastAsia="Aptos" w:hAnsiTheme="majorBidi" w:cstheme="majorBidi"/>
          <w:kern w:val="2"/>
          <w:sz w:val="24"/>
          <w:szCs w:val="24"/>
          <w14:ligatures w14:val="standardContextual"/>
        </w:rPr>
        <w:t xml:space="preserve"> dhe ta vërë atë në dispozicion të autoritetit kompetent gjatë kontrollit;</w:t>
      </w:r>
    </w:p>
    <w:p w14:paraId="5C3DAA7E" w14:textId="77777777" w:rsidR="00A612C5" w:rsidRPr="001A6569" w:rsidRDefault="00A612C5" w:rsidP="00A612C5">
      <w:pPr>
        <w:numPr>
          <w:ilvl w:val="0"/>
          <w:numId w:val="1"/>
        </w:numPr>
        <w:spacing w:after="160"/>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 xml:space="preserve">Administrimi i një substance të kufizuar tek një kafshë ferme është i ndaluar, përveç nëse administrohet në përputhje me ndonjë përjashtim të lejuar; </w:t>
      </w:r>
    </w:p>
    <w:p w14:paraId="44C27F09" w14:textId="77777777" w:rsidR="00A612C5" w:rsidRPr="001A6569" w:rsidRDefault="00A612C5" w:rsidP="00A612C5">
      <w:pPr>
        <w:numPr>
          <w:ilvl w:val="0"/>
          <w:numId w:val="1"/>
        </w:numPr>
        <w:spacing w:after="160"/>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 xml:space="preserve">Është e ndaluar të hidhen në treg ose të dërgohen për therje kafshët të cilave u është administruar një substancë e kufizuar, përveç nëse kjo është dhënë në përputhje me përjashtimet e lejuara; </w:t>
      </w:r>
    </w:p>
    <w:p w14:paraId="74905F3F" w14:textId="77777777" w:rsidR="00A612C5" w:rsidRPr="001A6569" w:rsidRDefault="00A612C5" w:rsidP="00A612C5">
      <w:pPr>
        <w:numPr>
          <w:ilvl w:val="0"/>
          <w:numId w:val="1"/>
        </w:numPr>
        <w:spacing w:after="160"/>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Është e ndaluar të shitet mishi ose çdo produkt tjetër shtazor, i nxjerrë nga një kafshë të cilës i është administruar një substancë e kufizuar, përveç nëse është dhënë në përputhje me përjashtimet e lejuara.</w:t>
      </w:r>
    </w:p>
    <w:p w14:paraId="61A2F210" w14:textId="0055687D" w:rsidR="00A612C5" w:rsidRDefault="00A612C5" w:rsidP="00A612C5">
      <w:pPr>
        <w:numPr>
          <w:ilvl w:val="0"/>
          <w:numId w:val="1"/>
        </w:numPr>
        <w:spacing w:after="160"/>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Kritere te tjera të përcaktuara në legjislacionin përkatës në fuqi</w:t>
      </w:r>
      <w:r w:rsidR="007E4A2F">
        <w:rPr>
          <w:rFonts w:asciiTheme="majorBidi" w:eastAsia="Aptos" w:hAnsiTheme="majorBidi" w:cstheme="majorBidi"/>
          <w:kern w:val="2"/>
          <w:sz w:val="24"/>
          <w:szCs w:val="24"/>
          <w14:ligatures w14:val="standardContextual"/>
        </w:rPr>
        <w:t>.</w:t>
      </w:r>
    </w:p>
    <w:p w14:paraId="6796243A" w14:textId="05F8B458" w:rsidR="00803B3E" w:rsidRDefault="00803B3E" w:rsidP="00803B3E">
      <w:pPr>
        <w:spacing w:after="160"/>
        <w:jc w:val="both"/>
        <w:rPr>
          <w:rFonts w:asciiTheme="majorBidi" w:eastAsia="Aptos" w:hAnsiTheme="majorBidi" w:cstheme="majorBidi"/>
          <w:kern w:val="2"/>
          <w:sz w:val="24"/>
          <w:szCs w:val="24"/>
          <w14:ligatures w14:val="standardContextual"/>
        </w:rPr>
      </w:pPr>
    </w:p>
    <w:p w14:paraId="312B4BB7" w14:textId="12CA8C63" w:rsidR="00803B3E" w:rsidRDefault="00803B3E" w:rsidP="00803B3E">
      <w:pPr>
        <w:spacing w:after="160"/>
        <w:jc w:val="both"/>
        <w:rPr>
          <w:rFonts w:asciiTheme="majorBidi" w:eastAsia="Aptos" w:hAnsiTheme="majorBidi" w:cstheme="majorBidi"/>
          <w:kern w:val="2"/>
          <w:sz w:val="24"/>
          <w:szCs w:val="24"/>
          <w14:ligatures w14:val="standardContextual"/>
        </w:rPr>
      </w:pPr>
    </w:p>
    <w:p w14:paraId="7F7874DF" w14:textId="77777777" w:rsidR="00803B3E" w:rsidRDefault="00803B3E" w:rsidP="00803B3E">
      <w:pPr>
        <w:spacing w:after="160"/>
        <w:jc w:val="both"/>
        <w:rPr>
          <w:rFonts w:asciiTheme="majorBidi" w:eastAsia="Aptos" w:hAnsiTheme="majorBidi" w:cstheme="majorBidi"/>
          <w:kern w:val="2"/>
          <w:sz w:val="24"/>
          <w:szCs w:val="24"/>
          <w14:ligatures w14:val="standardContextual"/>
        </w:rPr>
      </w:pPr>
    </w:p>
    <w:p w14:paraId="0CE19C07" w14:textId="01ED301E" w:rsidR="004F4891" w:rsidRPr="001A6569" w:rsidRDefault="004F4891" w:rsidP="002A75AA">
      <w:pPr>
        <w:numPr>
          <w:ilvl w:val="0"/>
          <w:numId w:val="2"/>
        </w:numPr>
        <w:autoSpaceDE w:val="0"/>
        <w:autoSpaceDN w:val="0"/>
        <w:adjustRightInd w:val="0"/>
        <w:spacing w:after="0"/>
        <w:ind w:left="360" w:right="4" w:hanging="360"/>
        <w:contextualSpacing/>
        <w:jc w:val="both"/>
        <w:rPr>
          <w:rFonts w:asciiTheme="majorBidi" w:eastAsia="Aptos" w:hAnsiTheme="majorBidi" w:cstheme="majorBidi"/>
          <w:b/>
          <w:bCs/>
          <w:i/>
          <w:iCs/>
          <w:kern w:val="2"/>
          <w:sz w:val="24"/>
          <w:szCs w:val="24"/>
          <w14:ligatures w14:val="standardContextual"/>
        </w:rPr>
      </w:pPr>
      <w:r w:rsidRPr="001A6569">
        <w:rPr>
          <w:rFonts w:asciiTheme="majorBidi" w:eastAsia="Aptos" w:hAnsiTheme="majorBidi" w:cstheme="majorBidi"/>
          <w:b/>
          <w:bCs/>
          <w:kern w:val="2"/>
          <w:sz w:val="24"/>
          <w:szCs w:val="24"/>
          <w14:ligatures w14:val="standardContextual"/>
        </w:rPr>
        <w:t>Mirëq</w:t>
      </w:r>
      <w:r w:rsidR="00803B3E">
        <w:rPr>
          <w:rFonts w:asciiTheme="majorBidi" w:eastAsia="Aptos" w:hAnsiTheme="majorBidi" w:cstheme="majorBidi"/>
          <w:b/>
          <w:bCs/>
          <w:kern w:val="2"/>
          <w:sz w:val="24"/>
          <w:szCs w:val="24"/>
          <w14:ligatures w14:val="standardContextual"/>
        </w:rPr>
        <w:t>e</w:t>
      </w:r>
      <w:r w:rsidRPr="001A6569">
        <w:rPr>
          <w:rFonts w:asciiTheme="majorBidi" w:eastAsia="Aptos" w:hAnsiTheme="majorBidi" w:cstheme="majorBidi"/>
          <w:b/>
          <w:bCs/>
          <w:kern w:val="2"/>
          <w:sz w:val="24"/>
          <w:szCs w:val="24"/>
          <w14:ligatures w14:val="standardContextual"/>
        </w:rPr>
        <w:t>nia  e kafshëve</w:t>
      </w:r>
      <w:r w:rsidRPr="001A6569">
        <w:rPr>
          <w:rFonts w:asciiTheme="majorBidi" w:eastAsia="Aptos" w:hAnsiTheme="majorBidi" w:cstheme="majorBidi"/>
          <w:b/>
          <w:bCs/>
          <w:i/>
          <w:iCs/>
          <w:kern w:val="2"/>
          <w:sz w:val="24"/>
          <w:szCs w:val="24"/>
          <w14:ligatures w14:val="standardContextual"/>
        </w:rPr>
        <w:t xml:space="preserve"> </w:t>
      </w:r>
      <w:r w:rsidR="00FC0F49" w:rsidRPr="001A6569">
        <w:rPr>
          <w:rFonts w:asciiTheme="majorBidi" w:eastAsia="Aptos" w:hAnsiTheme="majorBidi" w:cstheme="majorBidi"/>
          <w:b/>
          <w:bCs/>
          <w:iCs/>
          <w:kern w:val="2"/>
          <w:sz w:val="24"/>
          <w:szCs w:val="24"/>
          <w14:ligatures w14:val="standardContextual"/>
        </w:rPr>
        <w:t>(SMR 11)</w:t>
      </w:r>
    </w:p>
    <w:p w14:paraId="7605B761" w14:textId="77777777" w:rsidR="00A97ECC" w:rsidRDefault="00A97ECC" w:rsidP="002A75AA">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p>
    <w:p w14:paraId="0CE19C08" w14:textId="637AB885" w:rsidR="004F4891" w:rsidRPr="001A6569" w:rsidRDefault="004F4891" w:rsidP="002A75AA">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Ky kushtëzim</w:t>
      </w:r>
      <w:r w:rsidRPr="001A6569">
        <w:rPr>
          <w:rFonts w:asciiTheme="majorBidi" w:eastAsia="Aptos" w:hAnsiTheme="majorBidi" w:cstheme="majorBidi"/>
          <w:kern w:val="2"/>
          <w:sz w:val="24"/>
          <w:szCs w:val="24"/>
          <w:vertAlign w:val="superscript"/>
          <w14:ligatures w14:val="standardContextual"/>
        </w:rPr>
        <w:footnoteReference w:id="2"/>
      </w:r>
      <w:r w:rsidRPr="001A6569">
        <w:rPr>
          <w:rFonts w:asciiTheme="majorBidi" w:eastAsia="Aptos" w:hAnsiTheme="majorBidi" w:cstheme="majorBidi"/>
          <w:kern w:val="2"/>
          <w:sz w:val="24"/>
          <w:szCs w:val="24"/>
          <w14:ligatures w14:val="standardContextual"/>
        </w:rPr>
        <w:t xml:space="preserve"> synon mbrojtjen e mirëqenies së çdo lloji kafshe të mbarështuar (për qëllime bujqësore) duke përmbushur standardet minimale për kujdesin dhe mbarështimin e tyre. </w:t>
      </w:r>
    </w:p>
    <w:p w14:paraId="0CE19C09" w14:textId="035B9172" w:rsidR="004F4891" w:rsidRPr="001A6569" w:rsidRDefault="004F4891" w:rsidP="002A75AA">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Të gjithë fermerët që mbar</w:t>
      </w:r>
      <w:r w:rsidR="00803B3E">
        <w:rPr>
          <w:rFonts w:asciiTheme="majorBidi" w:eastAsia="Aptos" w:hAnsiTheme="majorBidi" w:cstheme="majorBidi"/>
          <w:kern w:val="2"/>
          <w:sz w:val="24"/>
          <w:szCs w:val="24"/>
          <w14:ligatures w14:val="standardContextual"/>
        </w:rPr>
        <w:t>ë</w:t>
      </w:r>
      <w:r w:rsidRPr="001A6569">
        <w:rPr>
          <w:rFonts w:asciiTheme="majorBidi" w:eastAsia="Aptos" w:hAnsiTheme="majorBidi" w:cstheme="majorBidi"/>
          <w:kern w:val="2"/>
          <w:sz w:val="24"/>
          <w:szCs w:val="24"/>
          <w14:ligatures w14:val="standardContextual"/>
        </w:rPr>
        <w:t xml:space="preserve">shtojnë kafshë për qëllime bujqësore duhet të përmbushin standardet minimale specifike të mirëqenies përkatëse. </w:t>
      </w:r>
    </w:p>
    <w:p w14:paraId="6F38D512" w14:textId="77777777" w:rsidR="00803B3E" w:rsidRDefault="00803B3E" w:rsidP="002355E7">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p>
    <w:p w14:paraId="5BC1D883" w14:textId="72530893" w:rsidR="002355E7" w:rsidRDefault="002355E7" w:rsidP="002355E7">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2355E7">
        <w:rPr>
          <w:rFonts w:asciiTheme="majorBidi" w:eastAsia="Aptos" w:hAnsiTheme="majorBidi" w:cstheme="majorBidi"/>
          <w:kern w:val="2"/>
          <w:sz w:val="24"/>
          <w:szCs w:val="24"/>
          <w14:ligatures w14:val="standardContextual"/>
        </w:rPr>
        <w:t xml:space="preserve">Gjatë kontrollit në vend, specialisti veterinar nga </w:t>
      </w:r>
      <w:bookmarkStart w:id="0" w:name="_Hlk228433965"/>
      <w:r w:rsidRPr="002355E7">
        <w:rPr>
          <w:rFonts w:asciiTheme="majorBidi" w:eastAsia="Aptos" w:hAnsiTheme="majorBidi" w:cstheme="majorBidi"/>
          <w:kern w:val="2"/>
          <w:sz w:val="24"/>
          <w:szCs w:val="24"/>
          <w14:ligatures w14:val="standardContextual"/>
        </w:rPr>
        <w:t>DRVMB</w:t>
      </w:r>
      <w:bookmarkEnd w:id="0"/>
      <w:r w:rsidRPr="002355E7">
        <w:rPr>
          <w:rFonts w:asciiTheme="majorBidi" w:eastAsia="Aptos" w:hAnsiTheme="majorBidi" w:cstheme="majorBidi"/>
          <w:kern w:val="2"/>
          <w:sz w:val="24"/>
          <w:szCs w:val="24"/>
          <w14:ligatures w14:val="standardContextual"/>
        </w:rPr>
        <w:t xml:space="preserve"> verifikon dhe vlerëson, për:</w:t>
      </w:r>
    </w:p>
    <w:p w14:paraId="767CE51D" w14:textId="77777777" w:rsidR="00803B3E" w:rsidRDefault="00803B3E" w:rsidP="002355E7">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p>
    <w:p w14:paraId="09B93A36" w14:textId="5F47ACED" w:rsidR="0019365A" w:rsidRPr="002355E7" w:rsidRDefault="0019365A" w:rsidP="002355E7">
      <w:pPr>
        <w:pStyle w:val="ListParagraph"/>
        <w:numPr>
          <w:ilvl w:val="0"/>
          <w:numId w:val="7"/>
        </w:numPr>
        <w:autoSpaceDE w:val="0"/>
        <w:autoSpaceDN w:val="0"/>
        <w:adjustRightInd w:val="0"/>
        <w:spacing w:after="0"/>
        <w:ind w:right="4"/>
        <w:jc w:val="both"/>
        <w:rPr>
          <w:rFonts w:asciiTheme="majorBidi" w:eastAsia="Aptos" w:hAnsiTheme="majorBidi" w:cstheme="majorBidi"/>
          <w:kern w:val="2"/>
          <w:sz w:val="24"/>
          <w:szCs w:val="24"/>
          <w14:ligatures w14:val="standardContextual"/>
        </w:rPr>
      </w:pPr>
      <w:r w:rsidRPr="002355E7">
        <w:rPr>
          <w:rFonts w:asciiTheme="majorBidi" w:eastAsia="Aptos" w:hAnsiTheme="majorBidi" w:cstheme="majorBidi"/>
          <w:kern w:val="2"/>
          <w:sz w:val="24"/>
          <w:szCs w:val="24"/>
          <w14:ligatures w14:val="standardContextual"/>
        </w:rPr>
        <w:t xml:space="preserve">Liri të mjaftueshme të lëvizjes; </w:t>
      </w:r>
    </w:p>
    <w:p w14:paraId="21FAD142" w14:textId="77777777" w:rsidR="0019365A" w:rsidRPr="001A6569" w:rsidRDefault="0019365A" w:rsidP="0019365A">
      <w:pPr>
        <w:numPr>
          <w:ilvl w:val="0"/>
          <w:numId w:val="3"/>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Kafshët të jenë të matrikulluara dhe të regjistruara në modulin e regjistrin e fermës dhe në modulin e identifikimit individual  RUDA ;</w:t>
      </w:r>
    </w:p>
    <w:p w14:paraId="2E3A87D3" w14:textId="77777777" w:rsidR="0019365A" w:rsidRPr="001A6569" w:rsidRDefault="0019365A" w:rsidP="0019365A">
      <w:pPr>
        <w:numPr>
          <w:ilvl w:val="0"/>
          <w:numId w:val="3"/>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Rregjistrin e përditësuar i fermës;</w:t>
      </w:r>
    </w:p>
    <w:p w14:paraId="167981FF" w14:textId="77777777" w:rsidR="0019365A" w:rsidRPr="001A6569" w:rsidRDefault="0019365A" w:rsidP="0019365A">
      <w:pPr>
        <w:numPr>
          <w:ilvl w:val="0"/>
          <w:numId w:val="3"/>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Procedurat e të ushqyerit të kafshëve, përfshirë sigurimin e ushqimit, ujit dhe substancave të tjera të lejuara;</w:t>
      </w:r>
    </w:p>
    <w:p w14:paraId="4E7CCD08" w14:textId="4B1E85F4" w:rsidR="0019365A" w:rsidRPr="001A6569" w:rsidRDefault="0019365A" w:rsidP="0019365A">
      <w:pPr>
        <w:numPr>
          <w:ilvl w:val="0"/>
          <w:numId w:val="3"/>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Amb</w:t>
      </w:r>
      <w:r w:rsidR="00803B3E">
        <w:rPr>
          <w:rFonts w:asciiTheme="majorBidi" w:eastAsia="Aptos" w:hAnsiTheme="majorBidi" w:cstheme="majorBidi"/>
          <w:kern w:val="2"/>
          <w:sz w:val="24"/>
          <w:szCs w:val="24"/>
          <w14:ligatures w14:val="standardContextual"/>
        </w:rPr>
        <w:t>i</w:t>
      </w:r>
      <w:r w:rsidRPr="001A6569">
        <w:rPr>
          <w:rFonts w:asciiTheme="majorBidi" w:eastAsia="Aptos" w:hAnsiTheme="majorBidi" w:cstheme="majorBidi"/>
          <w:kern w:val="2"/>
          <w:sz w:val="24"/>
          <w:szCs w:val="24"/>
          <w14:ligatures w14:val="standardContextual"/>
        </w:rPr>
        <w:t>entet e mbarështimit, me hapësira në përputhje me rregullat që zbatohen për mirëqenien e kafshëve për mbarështimin në krere/ m²;</w:t>
      </w:r>
    </w:p>
    <w:p w14:paraId="24D28AFE" w14:textId="77777777" w:rsidR="0019365A" w:rsidRPr="001A6569" w:rsidRDefault="0019365A" w:rsidP="0019365A">
      <w:pPr>
        <w:numPr>
          <w:ilvl w:val="0"/>
          <w:numId w:val="3"/>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 xml:space="preserve">Staf kompetent dhe magazinues të aftë; </w:t>
      </w:r>
    </w:p>
    <w:p w14:paraId="3C2AF902" w14:textId="77777777" w:rsidR="0019365A" w:rsidRPr="001A6569" w:rsidRDefault="0019365A" w:rsidP="0019365A">
      <w:pPr>
        <w:numPr>
          <w:ilvl w:val="0"/>
          <w:numId w:val="3"/>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Mbajtjen e të dhënave në librin e mjekimeve (për të paktën tre vjet) të trajtimit mjekësor të dhënë, numrit të vdekjeve, etj, i përditësuar dhe i lëshuar nga Autoriteti kompetent.</w:t>
      </w:r>
    </w:p>
    <w:p w14:paraId="579F872F" w14:textId="77777777" w:rsidR="0019365A" w:rsidRPr="001A6569" w:rsidRDefault="0019365A" w:rsidP="0019365A">
      <w:pPr>
        <w:numPr>
          <w:ilvl w:val="0"/>
          <w:numId w:val="3"/>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Ajër i përshtatshëm i ventiluar;</w:t>
      </w:r>
    </w:p>
    <w:p w14:paraId="1E11FE87" w14:textId="77777777" w:rsidR="0019365A" w:rsidRPr="001A6569" w:rsidRDefault="0019365A" w:rsidP="0019365A">
      <w:pPr>
        <w:numPr>
          <w:ilvl w:val="0"/>
          <w:numId w:val="3"/>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Ndriçim i përshtatshëm, natyral ose artificial;</w:t>
      </w:r>
    </w:p>
    <w:p w14:paraId="335E3C76" w14:textId="77777777" w:rsidR="0019365A" w:rsidRPr="001A6569" w:rsidRDefault="0019365A" w:rsidP="0019365A">
      <w:pPr>
        <w:numPr>
          <w:ilvl w:val="0"/>
          <w:numId w:val="3"/>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Mjetet e pastrimit dhe dezinfektimit që përdoren në stallë, mënyra e funksionimit të tyre;</w:t>
      </w:r>
    </w:p>
    <w:p w14:paraId="41425648" w14:textId="77777777" w:rsidR="0019365A" w:rsidRPr="001A6569" w:rsidRDefault="0019365A" w:rsidP="0019365A">
      <w:pPr>
        <w:numPr>
          <w:ilvl w:val="0"/>
          <w:numId w:val="3"/>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Programet e monitorimit;</w:t>
      </w:r>
    </w:p>
    <w:p w14:paraId="0CE19C17" w14:textId="77777777" w:rsidR="004F4891" w:rsidRPr="001A6569" w:rsidRDefault="00D103AD" w:rsidP="002A75AA">
      <w:pPr>
        <w:numPr>
          <w:ilvl w:val="0"/>
          <w:numId w:val="3"/>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Kushteve</w:t>
      </w:r>
      <w:r w:rsidR="004F4891" w:rsidRPr="001A6569">
        <w:rPr>
          <w:rFonts w:asciiTheme="majorBidi" w:eastAsia="Aptos" w:hAnsiTheme="majorBidi" w:cstheme="majorBidi"/>
          <w:kern w:val="2"/>
          <w:sz w:val="24"/>
          <w:szCs w:val="24"/>
          <w14:ligatures w14:val="standardContextual"/>
        </w:rPr>
        <w:t xml:space="preserve"> për higjenë dhe mbarështimin e kafshëve të reja, për riprodhim ose remont për m²</w:t>
      </w:r>
      <w:r w:rsidRPr="001A6569">
        <w:rPr>
          <w:rFonts w:asciiTheme="majorBidi" w:eastAsia="Aptos" w:hAnsiTheme="majorBidi" w:cstheme="majorBidi"/>
          <w:kern w:val="2"/>
          <w:sz w:val="24"/>
          <w:szCs w:val="24"/>
          <w14:ligatures w14:val="standardContextual"/>
        </w:rPr>
        <w:t>;</w:t>
      </w:r>
    </w:p>
    <w:p w14:paraId="0CE19C18" w14:textId="77777777" w:rsidR="004F4891" w:rsidRPr="001A6569" w:rsidRDefault="004F4891" w:rsidP="002A75AA">
      <w:pPr>
        <w:numPr>
          <w:ilvl w:val="0"/>
          <w:numId w:val="3"/>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Kushtet lidhur me gazrat (amonjak, dyoksid karboni etj), me ndikim në shëndetin е</w:t>
      </w:r>
      <w:r w:rsidR="00D103AD" w:rsidRPr="001A6569">
        <w:rPr>
          <w:rFonts w:asciiTheme="majorBidi" w:eastAsia="Aptos" w:hAnsiTheme="majorBidi" w:cstheme="majorBidi"/>
          <w:kern w:val="2"/>
          <w:sz w:val="24"/>
          <w:szCs w:val="24"/>
          <w14:ligatures w14:val="standardContextual"/>
        </w:rPr>
        <w:t xml:space="preserve"> kafshëve;</w:t>
      </w:r>
    </w:p>
    <w:p w14:paraId="0CE19C19" w14:textId="306E712A" w:rsidR="004F4891" w:rsidRDefault="004F4891" w:rsidP="002A75AA">
      <w:pPr>
        <w:numPr>
          <w:ilvl w:val="0"/>
          <w:numId w:val="3"/>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Kritere të tjera të përcaktuara në legjislacionin përkatës.</w:t>
      </w:r>
    </w:p>
    <w:p w14:paraId="17F813D4" w14:textId="231D6F01" w:rsidR="00803B3E" w:rsidRDefault="00803B3E" w:rsidP="00803B3E">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p>
    <w:p w14:paraId="3B383BAD" w14:textId="77562C2B" w:rsidR="00803B3E" w:rsidRDefault="00803B3E" w:rsidP="00803B3E">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p>
    <w:p w14:paraId="3FE96309" w14:textId="77891C05" w:rsidR="00803B3E" w:rsidRDefault="00803B3E" w:rsidP="00803B3E">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p>
    <w:p w14:paraId="6204DE28" w14:textId="77777777" w:rsidR="00803B3E" w:rsidRPr="001A6569" w:rsidRDefault="00803B3E" w:rsidP="00803B3E">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p>
    <w:p w14:paraId="0CE19C1A" w14:textId="77777777" w:rsidR="004F4891" w:rsidRPr="001A6569" w:rsidRDefault="004F4891" w:rsidP="002A75AA">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p>
    <w:p w14:paraId="0CE19C1C" w14:textId="51777FB4" w:rsidR="004F4891" w:rsidRPr="001A6569" w:rsidRDefault="004F4891" w:rsidP="002A75AA">
      <w:pPr>
        <w:numPr>
          <w:ilvl w:val="0"/>
          <w:numId w:val="2"/>
        </w:numPr>
        <w:autoSpaceDE w:val="0"/>
        <w:autoSpaceDN w:val="0"/>
        <w:adjustRightInd w:val="0"/>
        <w:spacing w:after="0"/>
        <w:ind w:left="709"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b/>
          <w:bCs/>
          <w:kern w:val="2"/>
          <w:sz w:val="24"/>
          <w:szCs w:val="24"/>
          <w14:ligatures w14:val="standardContextual"/>
        </w:rPr>
        <w:lastRenderedPageBreak/>
        <w:t xml:space="preserve">Higjiena e Ushqimit dhe Ushqimit për Kafshë </w:t>
      </w:r>
      <w:r w:rsidR="00FC0F49" w:rsidRPr="001A6569">
        <w:rPr>
          <w:rFonts w:asciiTheme="majorBidi" w:eastAsia="Aptos" w:hAnsiTheme="majorBidi" w:cstheme="majorBidi"/>
          <w:b/>
          <w:bCs/>
          <w:i/>
          <w:iCs/>
          <w:kern w:val="2"/>
          <w:sz w:val="24"/>
          <w:szCs w:val="24"/>
          <w14:ligatures w14:val="standardContextual"/>
        </w:rPr>
        <w:t xml:space="preserve"> </w:t>
      </w:r>
      <w:r w:rsidR="00FC0F49" w:rsidRPr="001A6569">
        <w:rPr>
          <w:rFonts w:asciiTheme="majorBidi" w:eastAsia="Aptos" w:hAnsiTheme="majorBidi" w:cstheme="majorBidi"/>
          <w:b/>
          <w:bCs/>
          <w:iCs/>
          <w:kern w:val="2"/>
          <w:sz w:val="24"/>
          <w:szCs w:val="24"/>
          <w14:ligatures w14:val="standardContextual"/>
        </w:rPr>
        <w:t>(SMR 5)</w:t>
      </w:r>
    </w:p>
    <w:p w14:paraId="4A3E9FAF" w14:textId="77777777" w:rsidR="00A97ECC" w:rsidRDefault="00A97ECC" w:rsidP="002A75AA">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p>
    <w:p w14:paraId="0CE19C1D" w14:textId="27F056CC" w:rsidR="004F4891" w:rsidRDefault="004F4891" w:rsidP="002A75AA">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Ky kushtëzim</w:t>
      </w:r>
      <w:r w:rsidRPr="001A6569">
        <w:rPr>
          <w:rFonts w:asciiTheme="majorBidi" w:eastAsia="Aptos" w:hAnsiTheme="majorBidi" w:cstheme="majorBidi"/>
          <w:kern w:val="2"/>
          <w:sz w:val="24"/>
          <w:szCs w:val="24"/>
          <w:vertAlign w:val="superscript"/>
          <w14:ligatures w14:val="standardContextual"/>
        </w:rPr>
        <w:footnoteReference w:id="3"/>
      </w:r>
      <w:r w:rsidRPr="001A6569">
        <w:rPr>
          <w:rFonts w:asciiTheme="majorBidi" w:eastAsia="Aptos" w:hAnsiTheme="majorBidi" w:cstheme="majorBidi"/>
          <w:kern w:val="2"/>
          <w:sz w:val="24"/>
          <w:szCs w:val="24"/>
          <w14:ligatures w14:val="standardContextual"/>
        </w:rPr>
        <w:t xml:space="preserve"> synon të sigurojë një nivel të lartë mbrojtjeje të shëndetit publik, si dhe shëndetin dhe mirëqenien e kafshëve</w:t>
      </w:r>
      <w:r w:rsidR="007C543A">
        <w:rPr>
          <w:rFonts w:asciiTheme="majorBidi" w:eastAsia="Aptos" w:hAnsiTheme="majorBidi" w:cstheme="majorBidi"/>
          <w:kern w:val="2"/>
          <w:sz w:val="24"/>
          <w:szCs w:val="24"/>
          <w14:ligatures w14:val="standardContextual"/>
        </w:rPr>
        <w:t xml:space="preserve"> </w:t>
      </w:r>
      <w:r w:rsidR="007C543A" w:rsidRPr="007C543A">
        <w:rPr>
          <w:rFonts w:asciiTheme="majorBidi" w:eastAsia="Aptos" w:hAnsiTheme="majorBidi" w:cstheme="majorBidi"/>
          <w:kern w:val="2"/>
          <w:sz w:val="24"/>
          <w:szCs w:val="24"/>
          <w14:ligatures w14:val="standardContextual"/>
        </w:rPr>
        <w:t>dhe përfshin të gjithë aplikantët që prodhojnë ushqim ose ushqim për kafshë nga bimët dhe që rrisin kafshë për ushqim, ose që prodhojnë produkte me origjinë shtazore, duke përfshirë qumështin dhe vezët.</w:t>
      </w:r>
      <w:r w:rsidRPr="001A6569">
        <w:rPr>
          <w:rFonts w:asciiTheme="majorBidi" w:eastAsia="Aptos" w:hAnsiTheme="majorBidi" w:cstheme="majorBidi"/>
          <w:kern w:val="2"/>
          <w:sz w:val="24"/>
          <w:szCs w:val="24"/>
          <w14:ligatures w14:val="standardContextual"/>
        </w:rPr>
        <w:t xml:space="preserve"> </w:t>
      </w:r>
    </w:p>
    <w:p w14:paraId="2C5520BA" w14:textId="77777777" w:rsidR="00803B3E" w:rsidRDefault="00803B3E" w:rsidP="002A75AA">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p>
    <w:p w14:paraId="67746E25" w14:textId="6FCB8590" w:rsidR="007C543A" w:rsidRDefault="00924B90" w:rsidP="002A75AA">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924B90">
        <w:rPr>
          <w:rFonts w:asciiTheme="majorBidi" w:eastAsia="Aptos" w:hAnsiTheme="majorBidi" w:cstheme="majorBidi"/>
          <w:kern w:val="2"/>
          <w:sz w:val="24"/>
          <w:szCs w:val="24"/>
          <w14:ligatures w14:val="standardContextual"/>
        </w:rPr>
        <w:t>Gjatë kontrollit në vend, specialisti veterinar nga DRVMB verifikon dhe vlerëson, për:</w:t>
      </w:r>
    </w:p>
    <w:p w14:paraId="6DCFC7C4" w14:textId="77777777" w:rsidR="00803B3E" w:rsidRPr="001A6569" w:rsidRDefault="00803B3E" w:rsidP="002A75AA">
      <w:p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bookmarkStart w:id="1" w:name="_GoBack"/>
      <w:bookmarkEnd w:id="1"/>
    </w:p>
    <w:p w14:paraId="7071851C" w14:textId="0F2738AC" w:rsidR="00536CE5" w:rsidRPr="00536CE5" w:rsidRDefault="00536CE5" w:rsidP="00536CE5">
      <w:pPr>
        <w:numPr>
          <w:ilvl w:val="0"/>
          <w:numId w:val="4"/>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536CE5">
        <w:rPr>
          <w:rFonts w:asciiTheme="majorBidi" w:eastAsia="Aptos" w:hAnsiTheme="majorBidi" w:cstheme="majorBidi"/>
          <w:kern w:val="2"/>
          <w:sz w:val="24"/>
          <w:szCs w:val="24"/>
          <w14:ligatures w14:val="standardContextual"/>
        </w:rPr>
        <w:t>Prodhimin dhe ruajtjen e sigurt të ushqimit</w:t>
      </w:r>
      <w:r w:rsidR="00803B3E">
        <w:rPr>
          <w:rFonts w:asciiTheme="majorBidi" w:eastAsia="Aptos" w:hAnsiTheme="majorBidi" w:cstheme="majorBidi"/>
          <w:kern w:val="2"/>
          <w:sz w:val="24"/>
          <w:szCs w:val="24"/>
          <w14:ligatures w14:val="standardContextual"/>
        </w:rPr>
        <w:t>;</w:t>
      </w:r>
      <w:r w:rsidRPr="00536CE5">
        <w:rPr>
          <w:rFonts w:asciiTheme="majorBidi" w:eastAsia="Aptos" w:hAnsiTheme="majorBidi" w:cstheme="majorBidi"/>
          <w:kern w:val="2"/>
          <w:sz w:val="24"/>
          <w:szCs w:val="24"/>
          <w14:ligatures w14:val="standardContextual"/>
        </w:rPr>
        <w:t xml:space="preserve"> </w:t>
      </w:r>
    </w:p>
    <w:p w14:paraId="4E0C81E0" w14:textId="77777777" w:rsidR="00536CE5" w:rsidRPr="00536CE5" w:rsidRDefault="00536CE5" w:rsidP="00536CE5">
      <w:pPr>
        <w:numPr>
          <w:ilvl w:val="0"/>
          <w:numId w:val="4"/>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536CE5">
        <w:rPr>
          <w:rFonts w:asciiTheme="majorBidi" w:eastAsia="Aptos" w:hAnsiTheme="majorBidi" w:cstheme="majorBidi"/>
          <w:kern w:val="2"/>
          <w:sz w:val="24"/>
          <w:szCs w:val="24"/>
          <w14:ligatures w14:val="standardContextual"/>
        </w:rPr>
        <w:t xml:space="preserve">Të dhënat e gjurmueshmërisë mbahen për të paktën 3 vjet; </w:t>
      </w:r>
    </w:p>
    <w:p w14:paraId="50DF4E35" w14:textId="77777777" w:rsidR="00536CE5" w:rsidRPr="00536CE5" w:rsidRDefault="00536CE5" w:rsidP="00536CE5">
      <w:pPr>
        <w:numPr>
          <w:ilvl w:val="0"/>
          <w:numId w:val="4"/>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536CE5">
        <w:rPr>
          <w:rFonts w:asciiTheme="majorBidi" w:eastAsia="Aptos" w:hAnsiTheme="majorBidi" w:cstheme="majorBidi"/>
          <w:kern w:val="2"/>
          <w:sz w:val="24"/>
          <w:szCs w:val="24"/>
          <w14:ligatures w14:val="standardContextual"/>
        </w:rPr>
        <w:t xml:space="preserve">Bulmeti/depoja e mjeljes, pajisjet dhe strehimi i lopëve mbahen të pastra dhe në gjendje të mirë dhe që bulmeti është i izoluar nga burimet e kontaminimit; </w:t>
      </w:r>
    </w:p>
    <w:p w14:paraId="21C82D4F" w14:textId="77777777" w:rsidR="00536CE5" w:rsidRPr="00536CE5" w:rsidRDefault="00536CE5" w:rsidP="00536CE5">
      <w:pPr>
        <w:numPr>
          <w:ilvl w:val="0"/>
          <w:numId w:val="4"/>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536CE5">
        <w:rPr>
          <w:rFonts w:asciiTheme="majorBidi" w:eastAsia="Aptos" w:hAnsiTheme="majorBidi" w:cstheme="majorBidi"/>
          <w:kern w:val="2"/>
          <w:sz w:val="24"/>
          <w:szCs w:val="24"/>
          <w14:ligatures w14:val="standardContextual"/>
        </w:rPr>
        <w:t xml:space="preserve">Respektimin e praktikave të higjienës gjatë mjeljes; </w:t>
      </w:r>
    </w:p>
    <w:p w14:paraId="177EF250" w14:textId="77777777" w:rsidR="00536CE5" w:rsidRPr="00536CE5" w:rsidRDefault="00536CE5" w:rsidP="00536CE5">
      <w:pPr>
        <w:numPr>
          <w:ilvl w:val="0"/>
          <w:numId w:val="4"/>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536CE5">
        <w:rPr>
          <w:rFonts w:asciiTheme="majorBidi" w:eastAsia="Aptos" w:hAnsiTheme="majorBidi" w:cstheme="majorBidi"/>
          <w:kern w:val="2"/>
          <w:sz w:val="24"/>
          <w:szCs w:val="24"/>
          <w14:ligatures w14:val="standardContextual"/>
        </w:rPr>
        <w:t xml:space="preserve">Parazitët në fermë janë nën kontroll të mjaftueshëm; </w:t>
      </w:r>
    </w:p>
    <w:p w14:paraId="0CE19C25" w14:textId="4EB22E25" w:rsidR="004F4891" w:rsidRPr="00536CE5" w:rsidRDefault="00536CE5" w:rsidP="00536CE5">
      <w:pPr>
        <w:numPr>
          <w:ilvl w:val="0"/>
          <w:numId w:val="4"/>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536CE5">
        <w:rPr>
          <w:rFonts w:asciiTheme="majorBidi" w:eastAsia="Aptos" w:hAnsiTheme="majorBidi" w:cstheme="majorBidi"/>
          <w:kern w:val="2"/>
          <w:sz w:val="24"/>
          <w:szCs w:val="24"/>
          <w14:ligatures w14:val="standardContextual"/>
        </w:rPr>
        <w:t>Respektimin e periudhave të tërheqjes për produktet e autorizuara</w:t>
      </w:r>
      <w:r w:rsidR="00803B3E">
        <w:rPr>
          <w:rFonts w:asciiTheme="majorBidi" w:eastAsia="Aptos" w:hAnsiTheme="majorBidi" w:cstheme="majorBidi"/>
          <w:kern w:val="2"/>
          <w:sz w:val="24"/>
          <w:szCs w:val="24"/>
          <w14:ligatures w14:val="standardContextual"/>
        </w:rPr>
        <w:t>;</w:t>
      </w:r>
    </w:p>
    <w:p w14:paraId="0CE19C26" w14:textId="24A11C7B" w:rsidR="004F4891" w:rsidRPr="001A6569" w:rsidRDefault="004F4891" w:rsidP="002A75AA">
      <w:pPr>
        <w:numPr>
          <w:ilvl w:val="0"/>
          <w:numId w:val="4"/>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Planimetrinë dhe vendosja е fermës</w:t>
      </w:r>
      <w:r w:rsidR="00803B3E">
        <w:rPr>
          <w:rFonts w:asciiTheme="majorBidi" w:eastAsia="Aptos" w:hAnsiTheme="majorBidi" w:cstheme="majorBidi"/>
          <w:kern w:val="2"/>
          <w:sz w:val="24"/>
          <w:szCs w:val="24"/>
          <w14:ligatures w14:val="standardContextual"/>
        </w:rPr>
        <w:t>;</w:t>
      </w:r>
    </w:p>
    <w:p w14:paraId="0CE19C27" w14:textId="3095BEA8" w:rsidR="004F4891" w:rsidRPr="001A6569" w:rsidRDefault="004F4891" w:rsidP="002A75AA">
      <w:pPr>
        <w:numPr>
          <w:ilvl w:val="0"/>
          <w:numId w:val="4"/>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Burimet e ushqimit dhe të ujit</w:t>
      </w:r>
      <w:r w:rsidR="00803B3E">
        <w:rPr>
          <w:rFonts w:asciiTheme="majorBidi" w:eastAsia="Aptos" w:hAnsiTheme="majorBidi" w:cstheme="majorBidi"/>
          <w:kern w:val="2"/>
          <w:sz w:val="24"/>
          <w:szCs w:val="24"/>
          <w14:ligatures w14:val="standardContextual"/>
        </w:rPr>
        <w:t>;</w:t>
      </w:r>
      <w:r w:rsidRPr="001A6569">
        <w:rPr>
          <w:rFonts w:asciiTheme="majorBidi" w:eastAsia="Aptos" w:hAnsiTheme="majorBidi" w:cstheme="majorBidi"/>
          <w:kern w:val="2"/>
          <w:sz w:val="24"/>
          <w:szCs w:val="24"/>
          <w14:ligatures w14:val="standardContextual"/>
        </w:rPr>
        <w:t xml:space="preserve"> </w:t>
      </w:r>
    </w:p>
    <w:p w14:paraId="0CE19C28" w14:textId="10E30263" w:rsidR="004F4891" w:rsidRPr="001A6569" w:rsidRDefault="004F4891" w:rsidP="002A75AA">
      <w:pPr>
        <w:numPr>
          <w:ilvl w:val="0"/>
          <w:numId w:val="4"/>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Dezinfektimet</w:t>
      </w:r>
      <w:r w:rsidR="00803B3E">
        <w:rPr>
          <w:rFonts w:asciiTheme="majorBidi" w:eastAsia="Aptos" w:hAnsiTheme="majorBidi" w:cstheme="majorBidi"/>
          <w:kern w:val="2"/>
          <w:sz w:val="24"/>
          <w:szCs w:val="24"/>
          <w14:ligatures w14:val="standardContextual"/>
        </w:rPr>
        <w:t>;</w:t>
      </w:r>
    </w:p>
    <w:p w14:paraId="0CE19C29" w14:textId="6FDF453C" w:rsidR="004F4891" w:rsidRPr="001A6569" w:rsidRDefault="004F4891" w:rsidP="002A75AA">
      <w:pPr>
        <w:numPr>
          <w:ilvl w:val="0"/>
          <w:numId w:val="4"/>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Mjetet e transportit</w:t>
      </w:r>
      <w:r w:rsidR="00803B3E">
        <w:rPr>
          <w:rFonts w:asciiTheme="majorBidi" w:eastAsia="Aptos" w:hAnsiTheme="majorBidi" w:cstheme="majorBidi"/>
          <w:kern w:val="2"/>
          <w:sz w:val="24"/>
          <w:szCs w:val="24"/>
          <w14:ligatures w14:val="standardContextual"/>
        </w:rPr>
        <w:t>;</w:t>
      </w:r>
    </w:p>
    <w:p w14:paraId="0CE19C2A" w14:textId="5DD3DB1F" w:rsidR="004F4891" w:rsidRPr="001A6569" w:rsidRDefault="004F4891" w:rsidP="002A75AA">
      <w:pPr>
        <w:numPr>
          <w:ilvl w:val="0"/>
          <w:numId w:val="4"/>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Personeli</w:t>
      </w:r>
      <w:r w:rsidR="00803B3E">
        <w:rPr>
          <w:rFonts w:asciiTheme="majorBidi" w:eastAsia="Aptos" w:hAnsiTheme="majorBidi" w:cstheme="majorBidi"/>
          <w:kern w:val="2"/>
          <w:sz w:val="24"/>
          <w:szCs w:val="24"/>
          <w14:ligatures w14:val="standardContextual"/>
        </w:rPr>
        <w:t>;</w:t>
      </w:r>
      <w:r w:rsidRPr="001A6569">
        <w:rPr>
          <w:rFonts w:asciiTheme="majorBidi" w:eastAsia="Aptos" w:hAnsiTheme="majorBidi" w:cstheme="majorBidi"/>
          <w:kern w:val="2"/>
          <w:sz w:val="24"/>
          <w:szCs w:val="24"/>
          <w14:ligatures w14:val="standardContextual"/>
        </w:rPr>
        <w:t xml:space="preserve"> </w:t>
      </w:r>
    </w:p>
    <w:p w14:paraId="0CE19C2B" w14:textId="03FDD998" w:rsidR="004F4891" w:rsidRPr="001A6569" w:rsidRDefault="004F4891" w:rsidP="002A75AA">
      <w:pPr>
        <w:numPr>
          <w:ilvl w:val="0"/>
          <w:numId w:val="4"/>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Vizitorët</w:t>
      </w:r>
      <w:r w:rsidR="00803B3E">
        <w:rPr>
          <w:rFonts w:asciiTheme="majorBidi" w:eastAsia="Aptos" w:hAnsiTheme="majorBidi" w:cstheme="majorBidi"/>
          <w:kern w:val="2"/>
          <w:sz w:val="24"/>
          <w:szCs w:val="24"/>
          <w14:ligatures w14:val="standardContextual"/>
        </w:rPr>
        <w:t>;</w:t>
      </w:r>
    </w:p>
    <w:p w14:paraId="0CE19C2C" w14:textId="77777777" w:rsidR="004F4891" w:rsidRPr="001A6569" w:rsidRDefault="004F4891" w:rsidP="002A75AA">
      <w:pPr>
        <w:numPr>
          <w:ilvl w:val="0"/>
          <w:numId w:val="4"/>
        </w:numPr>
        <w:autoSpaceDE w:val="0"/>
        <w:autoSpaceDN w:val="0"/>
        <w:adjustRightInd w:val="0"/>
        <w:spacing w:after="0"/>
        <w:ind w:right="4"/>
        <w:contextualSpacing/>
        <w:jc w:val="both"/>
        <w:rPr>
          <w:rFonts w:asciiTheme="majorBidi" w:eastAsia="Aptos" w:hAnsiTheme="majorBidi" w:cstheme="majorBidi"/>
          <w:kern w:val="2"/>
          <w:sz w:val="24"/>
          <w:szCs w:val="24"/>
          <w14:ligatures w14:val="standardContextual"/>
        </w:rPr>
      </w:pPr>
      <w:r w:rsidRPr="001A6569">
        <w:rPr>
          <w:rFonts w:asciiTheme="majorBidi" w:eastAsia="Aptos" w:hAnsiTheme="majorBidi" w:cstheme="majorBidi"/>
          <w:kern w:val="2"/>
          <w:sz w:val="24"/>
          <w:szCs w:val="24"/>
          <w14:ligatures w14:val="standardContextual"/>
        </w:rPr>
        <w:t>Kritere të tjera të përcaktuara në legjislacionin përkatës.</w:t>
      </w:r>
    </w:p>
    <w:p w14:paraId="0CE19C2D" w14:textId="77777777" w:rsidR="004F4891" w:rsidRPr="001A6569" w:rsidRDefault="004F4891" w:rsidP="002A75AA">
      <w:pPr>
        <w:autoSpaceDE w:val="0"/>
        <w:autoSpaceDN w:val="0"/>
        <w:adjustRightInd w:val="0"/>
        <w:spacing w:after="0"/>
        <w:ind w:right="4"/>
        <w:contextualSpacing/>
        <w:jc w:val="both"/>
        <w:rPr>
          <w:rFonts w:asciiTheme="majorBidi" w:eastAsia="Aptos" w:hAnsiTheme="majorBidi" w:cstheme="majorBidi"/>
          <w:kern w:val="2"/>
          <w:sz w:val="24"/>
          <w:szCs w:val="24"/>
          <w:highlight w:val="yellow"/>
          <w14:ligatures w14:val="standardContextual"/>
        </w:rPr>
      </w:pPr>
    </w:p>
    <w:p w14:paraId="0CE19C2E" w14:textId="77777777" w:rsidR="004F4891" w:rsidRPr="001A6569" w:rsidRDefault="004F4891" w:rsidP="002A75AA">
      <w:pPr>
        <w:spacing w:after="160"/>
        <w:rPr>
          <w:rFonts w:asciiTheme="majorBidi" w:eastAsia="Aptos" w:hAnsiTheme="majorBidi" w:cstheme="majorBidi"/>
          <w:kern w:val="2"/>
          <w:sz w:val="24"/>
          <w:szCs w:val="24"/>
          <w14:ligatures w14:val="standardContextual"/>
        </w:rPr>
      </w:pPr>
    </w:p>
    <w:p w14:paraId="0CE19C37" w14:textId="77777777" w:rsidR="00D26A1A" w:rsidRPr="002A75AA" w:rsidRDefault="00D26A1A" w:rsidP="002A75AA">
      <w:pPr>
        <w:rPr>
          <w:rFonts w:asciiTheme="majorBidi" w:hAnsiTheme="majorBidi" w:cstheme="majorBidi"/>
          <w:sz w:val="24"/>
          <w:szCs w:val="24"/>
        </w:rPr>
      </w:pPr>
    </w:p>
    <w:sectPr w:rsidR="00D26A1A" w:rsidRPr="002A75A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42DDA" w14:textId="77777777" w:rsidR="0010756E" w:rsidRPr="001A6569" w:rsidRDefault="0010756E" w:rsidP="004F4891">
      <w:pPr>
        <w:spacing w:after="0" w:line="240" w:lineRule="auto"/>
      </w:pPr>
      <w:r w:rsidRPr="001A6569">
        <w:separator/>
      </w:r>
    </w:p>
  </w:endnote>
  <w:endnote w:type="continuationSeparator" w:id="0">
    <w:p w14:paraId="5BAA4B75" w14:textId="77777777" w:rsidR="0010756E" w:rsidRPr="001A6569" w:rsidRDefault="0010756E" w:rsidP="004F4891">
      <w:pPr>
        <w:spacing w:after="0" w:line="240" w:lineRule="auto"/>
      </w:pPr>
      <w:r w:rsidRPr="001A65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99369"/>
      <w:docPartObj>
        <w:docPartGallery w:val="Page Numbers (Bottom of Page)"/>
        <w:docPartUnique/>
      </w:docPartObj>
    </w:sdtPr>
    <w:sdtEndPr>
      <w:rPr>
        <w:noProof/>
      </w:rPr>
    </w:sdtEndPr>
    <w:sdtContent>
      <w:p w14:paraId="3D1952B3" w14:textId="37BCB0F8" w:rsidR="00044997" w:rsidRDefault="000449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D24C7D" w14:textId="77777777" w:rsidR="00044997" w:rsidRDefault="00044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D0210" w14:textId="77777777" w:rsidR="0010756E" w:rsidRPr="001A6569" w:rsidRDefault="0010756E" w:rsidP="004F4891">
      <w:pPr>
        <w:spacing w:after="0" w:line="240" w:lineRule="auto"/>
      </w:pPr>
      <w:r w:rsidRPr="001A6569">
        <w:separator/>
      </w:r>
    </w:p>
  </w:footnote>
  <w:footnote w:type="continuationSeparator" w:id="0">
    <w:p w14:paraId="7E241137" w14:textId="77777777" w:rsidR="0010756E" w:rsidRPr="001A6569" w:rsidRDefault="0010756E" w:rsidP="004F4891">
      <w:pPr>
        <w:spacing w:after="0" w:line="240" w:lineRule="auto"/>
      </w:pPr>
      <w:r w:rsidRPr="001A6569">
        <w:continuationSeparator/>
      </w:r>
    </w:p>
  </w:footnote>
  <w:footnote w:id="1">
    <w:p w14:paraId="0CE19C44" w14:textId="77777777" w:rsidR="004F4891" w:rsidRPr="001A6569" w:rsidRDefault="004F4891" w:rsidP="004F4891">
      <w:pPr>
        <w:autoSpaceDE w:val="0"/>
        <w:autoSpaceDN w:val="0"/>
        <w:adjustRightInd w:val="0"/>
        <w:spacing w:after="0" w:line="240" w:lineRule="auto"/>
        <w:ind w:right="4"/>
        <w:contextualSpacing/>
        <w:jc w:val="both"/>
        <w:rPr>
          <w:rFonts w:ascii="Times New Roman" w:hAnsi="Times New Roman"/>
          <w:i/>
          <w:iCs/>
          <w:sz w:val="20"/>
          <w:szCs w:val="20"/>
        </w:rPr>
      </w:pPr>
      <w:r w:rsidRPr="001A6569">
        <w:rPr>
          <w:rStyle w:val="FootnoteReference"/>
          <w:i/>
          <w:iCs/>
          <w:sz w:val="20"/>
          <w:szCs w:val="20"/>
        </w:rPr>
        <w:footnoteRef/>
      </w:r>
      <w:r w:rsidRPr="001A6569">
        <w:rPr>
          <w:i/>
          <w:iCs/>
          <w:sz w:val="20"/>
          <w:szCs w:val="20"/>
        </w:rPr>
        <w:t xml:space="preserve"> </w:t>
      </w:r>
      <w:r w:rsidRPr="001A6569">
        <w:rPr>
          <w:rFonts w:ascii="Times New Roman" w:hAnsi="Times New Roman"/>
          <w:i/>
          <w:iCs/>
          <w:sz w:val="20"/>
          <w:szCs w:val="20"/>
        </w:rPr>
        <w:t>B</w:t>
      </w:r>
      <w:r w:rsidRPr="001A6569">
        <w:rPr>
          <w:rFonts w:ascii="Times New Roman" w:eastAsia="Times New Roman" w:hAnsi="Times New Roman"/>
          <w:i/>
          <w:iCs/>
          <w:color w:val="000000"/>
          <w:sz w:val="20"/>
          <w:szCs w:val="20"/>
        </w:rPr>
        <w:t>azuar në kërkesat e Urdhrit nr. 357, datë 22.12.2011, “Për kushtet e tregtimit dhe përdorimit në kafshë të disa lëndëve me veprim hormonal, tireostatik dhe beta-agonist”, dhe, në rastet e trajtimeve të lejuara sipas legjislacionit në fuqi</w:t>
      </w:r>
    </w:p>
    <w:p w14:paraId="0CE19C45" w14:textId="77777777" w:rsidR="004F4891" w:rsidRPr="001A6569" w:rsidRDefault="004F4891" w:rsidP="004F4891">
      <w:pPr>
        <w:pStyle w:val="FootnoteText1"/>
      </w:pPr>
    </w:p>
  </w:footnote>
  <w:footnote w:id="2">
    <w:p w14:paraId="0CE19C46" w14:textId="77777777" w:rsidR="004F4891" w:rsidRPr="001A6569" w:rsidRDefault="004F4891" w:rsidP="004F4891">
      <w:pPr>
        <w:autoSpaceDE w:val="0"/>
        <w:autoSpaceDN w:val="0"/>
        <w:adjustRightInd w:val="0"/>
        <w:spacing w:after="0" w:line="240" w:lineRule="auto"/>
        <w:ind w:right="4"/>
        <w:contextualSpacing/>
        <w:jc w:val="both"/>
        <w:rPr>
          <w:rFonts w:ascii="Times New Roman" w:hAnsi="Times New Roman"/>
          <w:b/>
          <w:bCs/>
          <w:i/>
          <w:iCs/>
          <w:sz w:val="20"/>
          <w:szCs w:val="20"/>
        </w:rPr>
      </w:pPr>
      <w:r w:rsidRPr="001A6569">
        <w:rPr>
          <w:rStyle w:val="FootnoteReference"/>
          <w:i/>
          <w:iCs/>
          <w:sz w:val="20"/>
          <w:szCs w:val="20"/>
        </w:rPr>
        <w:footnoteRef/>
      </w:r>
      <w:r w:rsidRPr="001A6569">
        <w:rPr>
          <w:i/>
          <w:iCs/>
          <w:sz w:val="20"/>
          <w:szCs w:val="20"/>
        </w:rPr>
        <w:t xml:space="preserve"> </w:t>
      </w:r>
      <w:r w:rsidRPr="001A6569">
        <w:rPr>
          <w:rFonts w:ascii="Times New Roman" w:hAnsi="Times New Roman"/>
          <w:i/>
          <w:iCs/>
          <w:sz w:val="20"/>
          <w:szCs w:val="20"/>
        </w:rPr>
        <w:t>Bazuar n</w:t>
      </w:r>
      <w:r w:rsidRPr="001A6569">
        <w:rPr>
          <w:rFonts w:ascii="Times New Roman" w:eastAsia="Times New Roman" w:hAnsi="Times New Roman"/>
          <w:i/>
          <w:iCs/>
          <w:color w:val="000000"/>
          <w:sz w:val="20"/>
          <w:szCs w:val="20"/>
        </w:rPr>
        <w:t>ë zbatim të Urdhrit Nr 286, datë 21.09.2012 “</w:t>
      </w:r>
      <w:r w:rsidRPr="001A6569">
        <w:rPr>
          <w:rFonts w:ascii="Times New Roman" w:eastAsia="Times New Roman" w:hAnsi="Times New Roman"/>
          <w:i/>
          <w:iCs/>
          <w:sz w:val="20"/>
          <w:szCs w:val="20"/>
        </w:rPr>
        <w:t>Mbi mbrojtjen e kafshëve të mbajtura për qëllime bujqësore’</w:t>
      </w:r>
      <w:r w:rsidRPr="001A6569">
        <w:rPr>
          <w:rFonts w:ascii="Times New Roman" w:eastAsia="Times New Roman" w:hAnsi="Times New Roman"/>
          <w:i/>
          <w:iCs/>
          <w:color w:val="000000"/>
          <w:sz w:val="20"/>
          <w:szCs w:val="20"/>
        </w:rPr>
        <w:t xml:space="preserve"> Urdhrit Nr. 651, datë 31.12.2021 “Për miratimin e formateve të protokoll kontrolleve që kryhen nga veterineri zyrtar” nëpërmjet Protokollit të Kontrollit “Për plotësimin e kushteve sanitaro-veterinare dhe mirëqenies së kafshëve në stabilimentet/fermat që mbarështojnë kafshë të gjalla të imta (Shtojca 2).</w:t>
      </w:r>
    </w:p>
    <w:p w14:paraId="0CE19C47" w14:textId="77777777" w:rsidR="004F4891" w:rsidRPr="001A6569" w:rsidRDefault="004F4891" w:rsidP="004F4891">
      <w:pPr>
        <w:pStyle w:val="FootnoteText1"/>
      </w:pPr>
    </w:p>
  </w:footnote>
  <w:footnote w:id="3">
    <w:p w14:paraId="0CE19C49" w14:textId="77777777" w:rsidR="004F4891" w:rsidRPr="001A6569" w:rsidRDefault="004F4891" w:rsidP="004F4891">
      <w:pPr>
        <w:autoSpaceDE w:val="0"/>
        <w:autoSpaceDN w:val="0"/>
        <w:adjustRightInd w:val="0"/>
        <w:spacing w:after="0"/>
        <w:ind w:right="4"/>
        <w:contextualSpacing/>
        <w:jc w:val="both"/>
        <w:rPr>
          <w:rFonts w:ascii="Times New Roman" w:hAnsi="Times New Roman"/>
          <w:i/>
          <w:iCs/>
          <w:sz w:val="20"/>
          <w:szCs w:val="20"/>
        </w:rPr>
      </w:pPr>
      <w:r w:rsidRPr="001A6569">
        <w:rPr>
          <w:rStyle w:val="FootnoteReference"/>
          <w:i/>
          <w:iCs/>
          <w:sz w:val="20"/>
          <w:szCs w:val="20"/>
        </w:rPr>
        <w:footnoteRef/>
      </w:r>
      <w:r w:rsidRPr="001A6569">
        <w:rPr>
          <w:i/>
          <w:iCs/>
          <w:sz w:val="20"/>
          <w:szCs w:val="20"/>
        </w:rPr>
        <w:t xml:space="preserve"> </w:t>
      </w:r>
      <w:r w:rsidRPr="001A6569">
        <w:rPr>
          <w:rFonts w:ascii="Times New Roman" w:hAnsi="Times New Roman"/>
          <w:i/>
          <w:iCs/>
          <w:sz w:val="20"/>
          <w:szCs w:val="20"/>
        </w:rPr>
        <w:t>Bazuar në nenin 23 të Ligjit Nr.9863, datë 28.1.2008 “Për Ushqimin”, i ndryshuar; Udhëzimin nr.22, datë 25.11.2010 “Për kushtet e përgjithshme dhe të veçanta të higjenës për stabilimentet e ushqimit dhe operatorët e biznesit ushqimor”; Udhëzimin nr.5, datë 25.03.2011 “Për kërkesat specifike të higjenës për stabilimentet e prodhimit, grumbullimit dhe përpunimit të qumështit dhe produkteve me bazë qumështi”, i ndryshuar</w:t>
      </w:r>
    </w:p>
    <w:p w14:paraId="0CE19C4A" w14:textId="77777777" w:rsidR="004F4891" w:rsidRPr="00DA1A4C" w:rsidRDefault="004F4891" w:rsidP="004F4891">
      <w:pPr>
        <w:pStyle w:val="FootnoteText1"/>
        <w:jc w:val="both"/>
        <w:rPr>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616BA"/>
    <w:multiLevelType w:val="hybridMultilevel"/>
    <w:tmpl w:val="421A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E19BA"/>
    <w:multiLevelType w:val="hybridMultilevel"/>
    <w:tmpl w:val="5A4C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E12F6"/>
    <w:multiLevelType w:val="hybridMultilevel"/>
    <w:tmpl w:val="255A3E2A"/>
    <w:lvl w:ilvl="0" w:tplc="04090013">
      <w:start w:val="1"/>
      <w:numFmt w:val="upperRoman"/>
      <w:lvlText w:val="%1."/>
      <w:lvlJc w:val="right"/>
      <w:pPr>
        <w:ind w:left="720" w:hanging="720"/>
      </w:pPr>
      <w:rPr>
        <w:rFonts w:hint="default"/>
        <w:i/>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5C1C10"/>
    <w:multiLevelType w:val="hybridMultilevel"/>
    <w:tmpl w:val="7788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02A91"/>
    <w:multiLevelType w:val="hybridMultilevel"/>
    <w:tmpl w:val="E70C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10E4A"/>
    <w:multiLevelType w:val="hybridMultilevel"/>
    <w:tmpl w:val="A720E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406673"/>
    <w:multiLevelType w:val="hybridMultilevel"/>
    <w:tmpl w:val="C5247752"/>
    <w:lvl w:ilvl="0" w:tplc="FDB46DCA">
      <w:start w:val="1"/>
      <w:numFmt w:val="lowerLetter"/>
      <w:lvlText w:val="%1."/>
      <w:lvlJc w:val="left"/>
      <w:pPr>
        <w:ind w:left="1440" w:hanging="72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4"/>
  </w:num>
  <w:num w:numId="2">
    <w:abstractNumId w:val="6"/>
  </w:num>
  <w:num w:numId="3">
    <w:abstractNumId w:val="3"/>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88"/>
    <w:rsid w:val="00037B72"/>
    <w:rsid w:val="00044997"/>
    <w:rsid w:val="000C3A0F"/>
    <w:rsid w:val="000E0195"/>
    <w:rsid w:val="0010756E"/>
    <w:rsid w:val="0012712A"/>
    <w:rsid w:val="0019365A"/>
    <w:rsid w:val="001A6569"/>
    <w:rsid w:val="001E288B"/>
    <w:rsid w:val="002355E7"/>
    <w:rsid w:val="002A02DF"/>
    <w:rsid w:val="002A75AA"/>
    <w:rsid w:val="003004C0"/>
    <w:rsid w:val="00301586"/>
    <w:rsid w:val="00430D0C"/>
    <w:rsid w:val="0043129E"/>
    <w:rsid w:val="00447750"/>
    <w:rsid w:val="00462C48"/>
    <w:rsid w:val="004D642F"/>
    <w:rsid w:val="004F4891"/>
    <w:rsid w:val="005079AA"/>
    <w:rsid w:val="00536CE5"/>
    <w:rsid w:val="005D5B79"/>
    <w:rsid w:val="005E1122"/>
    <w:rsid w:val="00654A3E"/>
    <w:rsid w:val="006B0E52"/>
    <w:rsid w:val="006E5143"/>
    <w:rsid w:val="00726DF7"/>
    <w:rsid w:val="0074394C"/>
    <w:rsid w:val="00793603"/>
    <w:rsid w:val="007C543A"/>
    <w:rsid w:val="007D6652"/>
    <w:rsid w:val="007E4A2F"/>
    <w:rsid w:val="00803B3E"/>
    <w:rsid w:val="00822103"/>
    <w:rsid w:val="00846504"/>
    <w:rsid w:val="008772C5"/>
    <w:rsid w:val="00924B90"/>
    <w:rsid w:val="009338F2"/>
    <w:rsid w:val="009C6E25"/>
    <w:rsid w:val="00A612C5"/>
    <w:rsid w:val="00A97ECC"/>
    <w:rsid w:val="00B44CF3"/>
    <w:rsid w:val="00B55A7E"/>
    <w:rsid w:val="00C157F6"/>
    <w:rsid w:val="00C169FE"/>
    <w:rsid w:val="00CA437A"/>
    <w:rsid w:val="00D103AD"/>
    <w:rsid w:val="00D26A1A"/>
    <w:rsid w:val="00DB1050"/>
    <w:rsid w:val="00DC4FC3"/>
    <w:rsid w:val="00DF2588"/>
    <w:rsid w:val="00E14B68"/>
    <w:rsid w:val="00F06DC4"/>
    <w:rsid w:val="00F40AA5"/>
    <w:rsid w:val="00F57FCB"/>
    <w:rsid w:val="00FB6276"/>
    <w:rsid w:val="00FC0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9BF3"/>
  <w15:docId w15:val="{569C54BF-1576-4EB5-AF31-A0D23AC1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basedOn w:val="Normal"/>
    <w:next w:val="CommentText"/>
    <w:link w:val="CommentTextChar"/>
    <w:uiPriority w:val="99"/>
    <w:unhideWhenUsed/>
    <w:rsid w:val="004F4891"/>
    <w:pPr>
      <w:spacing w:after="160" w:line="240" w:lineRule="auto"/>
    </w:pPr>
    <w:rPr>
      <w:sz w:val="20"/>
      <w:szCs w:val="20"/>
    </w:rPr>
  </w:style>
  <w:style w:type="character" w:customStyle="1" w:styleId="CommentTextChar">
    <w:name w:val="Comment Text Char"/>
    <w:basedOn w:val="DefaultParagraphFont"/>
    <w:link w:val="CommentText1"/>
    <w:uiPriority w:val="99"/>
    <w:rsid w:val="004F4891"/>
    <w:rPr>
      <w:sz w:val="20"/>
      <w:szCs w:val="20"/>
    </w:rPr>
  </w:style>
  <w:style w:type="paragraph" w:customStyle="1" w:styleId="FootnoteText1">
    <w:name w:val="Footnote Text1"/>
    <w:basedOn w:val="Normal"/>
    <w:next w:val="FootnoteText"/>
    <w:link w:val="FootnoteTextChar"/>
    <w:uiPriority w:val="99"/>
    <w:semiHidden/>
    <w:unhideWhenUsed/>
    <w:rsid w:val="004F4891"/>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4F4891"/>
    <w:rPr>
      <w:sz w:val="20"/>
      <w:szCs w:val="20"/>
    </w:rPr>
  </w:style>
  <w:style w:type="character" w:styleId="CommentReference">
    <w:name w:val="annotation reference"/>
    <w:uiPriority w:val="99"/>
    <w:semiHidden/>
    <w:unhideWhenUsed/>
    <w:rsid w:val="004F4891"/>
    <w:rPr>
      <w:sz w:val="16"/>
      <w:szCs w:val="16"/>
    </w:rPr>
  </w:style>
  <w:style w:type="character" w:styleId="FootnoteReference">
    <w:name w:val="footnote reference"/>
    <w:aliases w:val="ftref,BVI fnr,16 Point,Superscript 6 Point,Fußnotenzeichen DISS,Footnote,Footnote symbol,Char1 Char Char Char Char, Char1 Char Char Char Char,Odwołanie przypisu,fr,Rimando nota a piè di pagina2,Footnote Reference Arial,callout,Ref,o"/>
    <w:link w:val="Char2"/>
    <w:uiPriority w:val="99"/>
    <w:qFormat/>
    <w:rsid w:val="004F4891"/>
    <w:rPr>
      <w:vertAlign w:val="superscript"/>
    </w:rPr>
  </w:style>
  <w:style w:type="paragraph" w:customStyle="1" w:styleId="Char2">
    <w:name w:val="Char2"/>
    <w:basedOn w:val="Normal"/>
    <w:link w:val="FootnoteReference"/>
    <w:uiPriority w:val="99"/>
    <w:rsid w:val="004F4891"/>
    <w:pPr>
      <w:spacing w:after="160" w:line="240" w:lineRule="exact"/>
    </w:pPr>
    <w:rPr>
      <w:vertAlign w:val="superscript"/>
    </w:rPr>
  </w:style>
  <w:style w:type="paragraph" w:styleId="CommentText">
    <w:name w:val="annotation text"/>
    <w:basedOn w:val="Normal"/>
    <w:link w:val="CommentTextChar1"/>
    <w:uiPriority w:val="99"/>
    <w:semiHidden/>
    <w:unhideWhenUsed/>
    <w:rsid w:val="004F4891"/>
    <w:pPr>
      <w:spacing w:line="240" w:lineRule="auto"/>
    </w:pPr>
    <w:rPr>
      <w:sz w:val="20"/>
      <w:szCs w:val="20"/>
    </w:rPr>
  </w:style>
  <w:style w:type="character" w:customStyle="1" w:styleId="CommentTextChar1">
    <w:name w:val="Comment Text Char1"/>
    <w:basedOn w:val="DefaultParagraphFont"/>
    <w:link w:val="CommentText"/>
    <w:uiPriority w:val="99"/>
    <w:semiHidden/>
    <w:rsid w:val="004F4891"/>
    <w:rPr>
      <w:sz w:val="20"/>
      <w:szCs w:val="20"/>
    </w:rPr>
  </w:style>
  <w:style w:type="paragraph" w:styleId="FootnoteText">
    <w:name w:val="footnote text"/>
    <w:basedOn w:val="Normal"/>
    <w:link w:val="FootnoteTextChar1"/>
    <w:uiPriority w:val="99"/>
    <w:semiHidden/>
    <w:unhideWhenUsed/>
    <w:rsid w:val="004F4891"/>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4F4891"/>
    <w:rPr>
      <w:sz w:val="20"/>
      <w:szCs w:val="20"/>
    </w:rPr>
  </w:style>
  <w:style w:type="paragraph" w:styleId="BalloonText">
    <w:name w:val="Balloon Text"/>
    <w:basedOn w:val="Normal"/>
    <w:link w:val="BalloonTextChar"/>
    <w:uiPriority w:val="99"/>
    <w:semiHidden/>
    <w:unhideWhenUsed/>
    <w:rsid w:val="004F4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8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C0F49"/>
    <w:rPr>
      <w:b/>
      <w:bCs/>
    </w:rPr>
  </w:style>
  <w:style w:type="character" w:customStyle="1" w:styleId="CommentSubjectChar">
    <w:name w:val="Comment Subject Char"/>
    <w:basedOn w:val="CommentTextChar1"/>
    <w:link w:val="CommentSubject"/>
    <w:uiPriority w:val="99"/>
    <w:semiHidden/>
    <w:rsid w:val="00FC0F49"/>
    <w:rPr>
      <w:b/>
      <w:bCs/>
      <w:sz w:val="20"/>
      <w:szCs w:val="20"/>
    </w:rPr>
  </w:style>
  <w:style w:type="paragraph" w:styleId="Header">
    <w:name w:val="header"/>
    <w:basedOn w:val="Normal"/>
    <w:link w:val="HeaderChar"/>
    <w:uiPriority w:val="99"/>
    <w:unhideWhenUsed/>
    <w:rsid w:val="00127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12A"/>
  </w:style>
  <w:style w:type="paragraph" w:styleId="Footer">
    <w:name w:val="footer"/>
    <w:basedOn w:val="Normal"/>
    <w:link w:val="FooterChar"/>
    <w:uiPriority w:val="99"/>
    <w:unhideWhenUsed/>
    <w:rsid w:val="00127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12A"/>
  </w:style>
  <w:style w:type="paragraph" w:styleId="ListParagraph">
    <w:name w:val="List Paragraph"/>
    <w:basedOn w:val="Normal"/>
    <w:uiPriority w:val="34"/>
    <w:qFormat/>
    <w:rsid w:val="00235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341870">
      <w:bodyDiv w:val="1"/>
      <w:marLeft w:val="0"/>
      <w:marRight w:val="0"/>
      <w:marTop w:val="0"/>
      <w:marBottom w:val="0"/>
      <w:divBdr>
        <w:top w:val="none" w:sz="0" w:space="0" w:color="auto"/>
        <w:left w:val="none" w:sz="0" w:space="0" w:color="auto"/>
        <w:bottom w:val="none" w:sz="0" w:space="0" w:color="auto"/>
        <w:right w:val="none" w:sz="0" w:space="0" w:color="auto"/>
      </w:divBdr>
    </w:div>
    <w:div w:id="199487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650</Words>
  <Characters>3705</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2026-05-07T10:03:00Z</cp:lastPrinted>
  <dcterms:created xsi:type="dcterms:W3CDTF">2026-05-07T10:03:00Z</dcterms:created>
  <dcterms:modified xsi:type="dcterms:W3CDTF">2026-05-08T09:55:00Z</dcterms:modified>
</cp:coreProperties>
</file>